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9E" w:rsidRPr="00296E95" w:rsidRDefault="0014169E" w:rsidP="00D066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6E95">
        <w:rPr>
          <w:b/>
          <w:sz w:val="28"/>
          <w:szCs w:val="28"/>
        </w:rPr>
        <w:t>Отчет</w:t>
      </w:r>
    </w:p>
    <w:p w:rsidR="0014169E" w:rsidRPr="0069711C" w:rsidRDefault="0014169E" w:rsidP="00D06669">
      <w:pPr>
        <w:jc w:val="center"/>
        <w:rPr>
          <w:sz w:val="28"/>
          <w:szCs w:val="28"/>
        </w:rPr>
      </w:pPr>
      <w:r w:rsidRPr="0069711C">
        <w:rPr>
          <w:sz w:val="28"/>
          <w:szCs w:val="28"/>
        </w:rPr>
        <w:t>о работе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за 2017 год</w:t>
      </w:r>
    </w:p>
    <w:p w:rsidR="0014169E" w:rsidRPr="00DF4172" w:rsidRDefault="0014169E" w:rsidP="00D06669">
      <w:pPr>
        <w:jc w:val="center"/>
      </w:pP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Комиссия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(далее – Комиссия) работает на основании Положения, утвержденного решением Президиума Совета контрольно-счетных органов при Счетной палате Российской Федерации (далее – Президиум Совета) от 15.02.2017.</w:t>
      </w: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 xml:space="preserve">Основная цель, которая стояла в прошедшем периоде перед Комиссией – это сбор, обобщение, изучение информации о функционировании на территории страны </w:t>
      </w:r>
      <w:r w:rsidR="005A073F">
        <w:rPr>
          <w:b w:val="0"/>
          <w:sz w:val="28"/>
          <w:szCs w:val="28"/>
        </w:rPr>
        <w:t xml:space="preserve">органов </w:t>
      </w:r>
      <w:r w:rsidRPr="007A2832">
        <w:rPr>
          <w:b w:val="0"/>
          <w:sz w:val="28"/>
          <w:szCs w:val="28"/>
        </w:rPr>
        <w:t>внешнего финансового контроля на муниципальном уровне</w:t>
      </w:r>
      <w:r w:rsidR="006256F3" w:rsidRPr="007A2832">
        <w:rPr>
          <w:b w:val="0"/>
          <w:sz w:val="28"/>
          <w:szCs w:val="28"/>
        </w:rPr>
        <w:t xml:space="preserve"> за 2015 и 2016 годы, а также за 1 полугодие 2017 года</w:t>
      </w:r>
      <w:r w:rsidRPr="007A2832">
        <w:rPr>
          <w:b w:val="0"/>
          <w:sz w:val="28"/>
          <w:szCs w:val="28"/>
        </w:rPr>
        <w:t>,</w:t>
      </w:r>
      <w:r w:rsidR="001E7467">
        <w:rPr>
          <w:b w:val="0"/>
          <w:sz w:val="28"/>
          <w:szCs w:val="28"/>
        </w:rPr>
        <w:t xml:space="preserve"> </w:t>
      </w:r>
      <w:r w:rsidR="005A073F">
        <w:rPr>
          <w:b w:val="0"/>
          <w:sz w:val="28"/>
          <w:szCs w:val="28"/>
        </w:rPr>
        <w:t xml:space="preserve">выработка предложений, направленных на </w:t>
      </w:r>
      <w:r w:rsidRPr="007A2832">
        <w:rPr>
          <w:b w:val="0"/>
          <w:sz w:val="28"/>
          <w:szCs w:val="28"/>
        </w:rPr>
        <w:t>совершенствование и повышение результативности работы контрольно-счетных органов муниципальных образований, а также подготовка документов для решения задач по развитию единой системы внешнего финансового контроля.</w:t>
      </w: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В состав Комиссии входят руководители региональных и муниципальных органов внешнего финансового контроля, а также представители Счетной палаты Российской Федерации, - всего 14 человек.</w:t>
      </w: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Работа Комиссии строилась на основании годового плана, составленного с учетом реализации мероприятий, включенных в план работы Совета контрольно-счетных органов при Счетной палате РФ (далее – Совет) на 2017 год, решений Совета и Президиума Совета.</w:t>
      </w:r>
    </w:p>
    <w:p w:rsidR="0014169E" w:rsidRPr="007A2832" w:rsidRDefault="0014169E" w:rsidP="00EF5EF0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2832">
        <w:rPr>
          <w:b w:val="0"/>
          <w:sz w:val="28"/>
          <w:szCs w:val="28"/>
        </w:rPr>
        <w:t>Годовой план работы Комиссии утвержден решением Президиума Совета от 15.03.2017 № 4-ПКСО.</w:t>
      </w:r>
    </w:p>
    <w:p w:rsidR="0014169E" w:rsidRPr="007A2832" w:rsidRDefault="0014169E" w:rsidP="00EF5EF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В 2017 году Комиссией проведено три заседания, два из которых в формате видеоконференцсвязи.</w:t>
      </w:r>
    </w:p>
    <w:p w:rsidR="0014169E" w:rsidRPr="00BB76CB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1 марта 2017 года в Счетной палате РФ состоялось первое организационное заседание Комиссии, в рамках которого определено количество заместителей председателя Комиссии, избран заместитель председателя Комиссии, созданы 2 рабочие группы, рассмотрен план работы Комиссии на 2017 год и проведено согласование отчетных аналитических форм</w:t>
      </w:r>
      <w:r w:rsidRPr="00BB76CB">
        <w:rPr>
          <w:sz w:val="28"/>
          <w:szCs w:val="28"/>
        </w:rPr>
        <w:t xml:space="preserve"> о создании и деятельност</w:t>
      </w:r>
      <w:r>
        <w:rPr>
          <w:sz w:val="28"/>
          <w:szCs w:val="28"/>
        </w:rPr>
        <w:t>и контрольно-счетных органов муниципальных образований (далее – МКСО)</w:t>
      </w:r>
      <w:r w:rsidRPr="00BB76CB">
        <w:rPr>
          <w:sz w:val="28"/>
          <w:szCs w:val="28"/>
        </w:rPr>
        <w:t>.</w:t>
      </w:r>
    </w:p>
    <w:p w:rsidR="0014169E" w:rsidRDefault="0014169E" w:rsidP="00EF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</w:t>
      </w:r>
      <w:r w:rsidR="00295BE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проведенных 13.10.2017 и 09.11.2017, </w:t>
      </w:r>
      <w:r w:rsidRPr="0081470E">
        <w:rPr>
          <w:sz w:val="28"/>
          <w:szCs w:val="28"/>
        </w:rPr>
        <w:t xml:space="preserve">рассматривались вопросы реализации мероприятий плана работы Комиссии на 2017 год и организации её деятельности. 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В течение 2017 года </w:t>
      </w:r>
      <w:r w:rsidR="001E7467">
        <w:rPr>
          <w:sz w:val="28"/>
          <w:szCs w:val="28"/>
        </w:rPr>
        <w:t xml:space="preserve">члены Комиссии </w:t>
      </w:r>
      <w:r w:rsidRPr="007A2832">
        <w:rPr>
          <w:sz w:val="28"/>
          <w:szCs w:val="28"/>
        </w:rPr>
        <w:t>принимали участие</w:t>
      </w:r>
      <w:r w:rsidR="001E7467">
        <w:rPr>
          <w:sz w:val="28"/>
          <w:szCs w:val="28"/>
        </w:rPr>
        <w:t xml:space="preserve"> в следующих мероприятиях</w:t>
      </w:r>
      <w:r w:rsidRPr="007A2832">
        <w:rPr>
          <w:sz w:val="28"/>
          <w:szCs w:val="28"/>
        </w:rPr>
        <w:t>: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Председатель Комиссии: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в заседании Президиума в г. Суздаль Владимирской области (февраль);</w:t>
      </w:r>
    </w:p>
    <w:p w:rsidR="0014169E" w:rsidRPr="007A2832" w:rsidRDefault="0014169E" w:rsidP="00EF5EF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в заседании Президиума Союза МКСО в г. Калининграде (апрель)</w:t>
      </w:r>
    </w:p>
    <w:p w:rsidR="0014169E" w:rsidRPr="007A2832" w:rsidRDefault="0014169E" w:rsidP="00EF5EF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lastRenderedPageBreak/>
        <w:t xml:space="preserve">– в рабочей встрече членов Президиума с ответственным секретарем Совета, директором Департамента внешних связей Базиным А.В. по подведению предварительных итогов работы комиссий и отделений Совета контрольно-счетных органов при Счетной палате РФ за 1 полугодие 2017 года в г. Москве (июль), </w:t>
      </w:r>
    </w:p>
    <w:p w:rsidR="0014169E" w:rsidRPr="007A2832" w:rsidRDefault="0014169E" w:rsidP="00EF5EF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в заседании Президиума Совета в г. Севастополе (сентябрь).</w:t>
      </w:r>
    </w:p>
    <w:p w:rsidR="0014169E" w:rsidRPr="007A2832" w:rsidRDefault="0014169E" w:rsidP="00EF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члены Комиссии: </w:t>
      </w:r>
    </w:p>
    <w:p w:rsidR="0014169E" w:rsidRPr="007A2832" w:rsidRDefault="0014169E" w:rsidP="00EF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в мероприятиях проводимых Счетной палатой РФ, Президиумом Совета, отделениями СКСО в федеральных округах и Союзом МКСО, как на федеральном уровне, так и в регионах РФ;</w:t>
      </w:r>
    </w:p>
    <w:p w:rsidR="0014169E" w:rsidRDefault="0014169E" w:rsidP="00EF5E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 в межрегиональных семинарах и совещаниях</w:t>
      </w:r>
      <w:r w:rsidRPr="00004474">
        <w:rPr>
          <w:sz w:val="28"/>
          <w:szCs w:val="28"/>
        </w:rPr>
        <w:t xml:space="preserve"> по вопросам внешнего финансового контроля.</w:t>
      </w:r>
    </w:p>
    <w:p w:rsidR="0014169E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выполнения плана работы на 2017 год</w:t>
      </w:r>
      <w:r w:rsidRPr="00172F9B">
        <w:rPr>
          <w:sz w:val="28"/>
          <w:szCs w:val="28"/>
        </w:rPr>
        <w:t xml:space="preserve"> осуществлялась координация деятельности Комиссии с комиссиями Совета, отделениями Совета в федеральных округах и ответственным секретарем Совета</w:t>
      </w:r>
      <w:r>
        <w:rPr>
          <w:sz w:val="28"/>
          <w:szCs w:val="28"/>
        </w:rPr>
        <w:t>.</w:t>
      </w:r>
    </w:p>
    <w:p w:rsidR="004C0EAB" w:rsidRDefault="004C0EAB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169E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E284C">
        <w:rPr>
          <w:b/>
          <w:sz w:val="28"/>
          <w:szCs w:val="28"/>
        </w:rPr>
        <w:t xml:space="preserve">Во исполнение протокольных поручений </w:t>
      </w:r>
      <w:r>
        <w:rPr>
          <w:b/>
          <w:sz w:val="28"/>
          <w:szCs w:val="28"/>
        </w:rPr>
        <w:t xml:space="preserve">совместного заседания </w:t>
      </w:r>
      <w:r w:rsidRPr="00DE284C">
        <w:rPr>
          <w:b/>
          <w:sz w:val="28"/>
          <w:szCs w:val="28"/>
        </w:rPr>
        <w:t>Президиума</w:t>
      </w:r>
      <w:r>
        <w:rPr>
          <w:b/>
          <w:sz w:val="28"/>
          <w:szCs w:val="28"/>
        </w:rPr>
        <w:t xml:space="preserve"> Совета</w:t>
      </w:r>
      <w:r w:rsidRPr="00DE284C">
        <w:rPr>
          <w:b/>
          <w:sz w:val="28"/>
          <w:szCs w:val="28"/>
        </w:rPr>
        <w:t xml:space="preserve"> и Совета от 20.12.2016 </w:t>
      </w:r>
      <w:r>
        <w:rPr>
          <w:b/>
          <w:sz w:val="28"/>
          <w:szCs w:val="28"/>
        </w:rPr>
        <w:t xml:space="preserve">(п.2.2.4 протокола №4-СКСО) </w:t>
      </w:r>
      <w:r w:rsidRPr="00DE284C">
        <w:rPr>
          <w:b/>
          <w:sz w:val="28"/>
          <w:szCs w:val="28"/>
        </w:rPr>
        <w:t xml:space="preserve">Комиссией </w:t>
      </w:r>
      <w:r>
        <w:rPr>
          <w:b/>
          <w:sz w:val="28"/>
          <w:szCs w:val="28"/>
        </w:rPr>
        <w:t>проведены следующие мероприятия.</w:t>
      </w:r>
    </w:p>
    <w:p w:rsidR="0014169E" w:rsidRPr="00F21D5D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239F">
        <w:rPr>
          <w:sz w:val="28"/>
          <w:szCs w:val="28"/>
        </w:rPr>
        <w:t xml:space="preserve">В целях обеспечения размещения в информационно-телекоммуникационной сети «Интернет» форм, содержащих информацию о создании </w:t>
      </w:r>
      <w:r>
        <w:rPr>
          <w:sz w:val="28"/>
          <w:szCs w:val="28"/>
        </w:rPr>
        <w:t>муниципальных контрольно-счетных органов</w:t>
      </w:r>
      <w:r w:rsidRPr="00B6239F">
        <w:rPr>
          <w:sz w:val="28"/>
          <w:szCs w:val="28"/>
        </w:rPr>
        <w:t xml:space="preserve"> и их </w:t>
      </w:r>
      <w:r>
        <w:rPr>
          <w:sz w:val="28"/>
          <w:szCs w:val="28"/>
        </w:rPr>
        <w:t>деятельности, для заполнения контрольно-счетными органами</w:t>
      </w:r>
      <w:r w:rsidRPr="00B6239F">
        <w:rPr>
          <w:sz w:val="28"/>
          <w:szCs w:val="28"/>
        </w:rPr>
        <w:t xml:space="preserve"> субъектов РФ</w:t>
      </w:r>
      <w:r>
        <w:rPr>
          <w:sz w:val="28"/>
          <w:szCs w:val="28"/>
        </w:rPr>
        <w:t>:</w:t>
      </w:r>
    </w:p>
    <w:p w:rsidR="0014169E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6249F">
        <w:rPr>
          <w:sz w:val="28"/>
          <w:szCs w:val="28"/>
        </w:rPr>
        <w:t xml:space="preserve">азработаны отчетные аналитические формы о создании и деятельности </w:t>
      </w:r>
      <w:r>
        <w:rPr>
          <w:sz w:val="28"/>
          <w:szCs w:val="28"/>
        </w:rPr>
        <w:t xml:space="preserve">МКСО, которые </w:t>
      </w:r>
      <w:r w:rsidRPr="0046249F">
        <w:rPr>
          <w:sz w:val="28"/>
          <w:szCs w:val="28"/>
        </w:rPr>
        <w:t>в срок до 20 апреля</w:t>
      </w:r>
      <w:r>
        <w:rPr>
          <w:sz w:val="28"/>
          <w:szCs w:val="28"/>
        </w:rPr>
        <w:t xml:space="preserve"> совместно с Департаментом автоматизации информационного обеспечения аппарата</w:t>
      </w:r>
      <w:r w:rsidRPr="0046249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четной палаты </w:t>
      </w:r>
      <w:r w:rsidRPr="0046249F">
        <w:rPr>
          <w:sz w:val="28"/>
          <w:szCs w:val="28"/>
        </w:rPr>
        <w:t>РФ</w:t>
      </w:r>
      <w:r>
        <w:rPr>
          <w:sz w:val="28"/>
          <w:szCs w:val="28"/>
        </w:rPr>
        <w:t xml:space="preserve"> и ответственным секретарем Совета размещены на портале Счетной палаты РФ и контрольно-счетных органов РФ (далее – Портал СП РФ и КСО РФ); </w:t>
      </w:r>
    </w:p>
    <w:p w:rsidR="0014169E" w:rsidRPr="0046249F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6249F">
        <w:rPr>
          <w:sz w:val="28"/>
          <w:szCs w:val="28"/>
        </w:rPr>
        <w:t>ля работы в Системе сб</w:t>
      </w:r>
      <w:r w:rsidR="00772BFA">
        <w:rPr>
          <w:sz w:val="28"/>
          <w:szCs w:val="28"/>
        </w:rPr>
        <w:t>ора и анализа информации каждому контрольно-счетному</w:t>
      </w:r>
      <w:r>
        <w:rPr>
          <w:sz w:val="28"/>
          <w:szCs w:val="28"/>
        </w:rPr>
        <w:t xml:space="preserve"> орган</w:t>
      </w:r>
      <w:r w:rsidR="00772BF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6249F">
        <w:rPr>
          <w:sz w:val="28"/>
          <w:szCs w:val="28"/>
        </w:rPr>
        <w:t>субъ</w:t>
      </w:r>
      <w:r>
        <w:rPr>
          <w:sz w:val="28"/>
          <w:szCs w:val="28"/>
        </w:rPr>
        <w:t xml:space="preserve">екта РФ </w:t>
      </w:r>
      <w:r w:rsidR="00772BFA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логин и пароль;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6249F">
        <w:rPr>
          <w:sz w:val="28"/>
          <w:szCs w:val="28"/>
        </w:rPr>
        <w:t xml:space="preserve">азработано Техническое задание на проведение работ по доработке сервиса «Сбор и анализ информации», которое согласовано с ответственным секретарем Совета </w:t>
      </w:r>
      <w:r w:rsidRPr="007A2832">
        <w:rPr>
          <w:sz w:val="28"/>
          <w:szCs w:val="28"/>
        </w:rPr>
        <w:t>и утверждено Федеральным центром информатизации Счетной палаты РФ. Внедрение сервиса позволило обеспечить: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ввод контрольно-счетными органами субъектов Российской Федерации в информационную систему Счетной палаты информации, запрашиваемой Счетной палатой Российской Федерации и Комиссией;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возможность текущего анализа со стороны Счетной палаты Российской Федерации и Комиссии состояния внесения данных контрольно-счетными органами субъектов Российской Федерации;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агрегацию однотипной информации, предоставляемой контрольно-счетными органами субъектов Российской Федерации в Счетную палату Российской Федерации и Комиссию;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формирование форм сводной аналитической отчетности;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lastRenderedPageBreak/>
        <w:t xml:space="preserve">- для сбора и обобщения информации по мониторингу применения административной ответственности и практики аудита закупок разработаны опросные листы, направленные руководителям отделений Совета в федеральных округах. 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в целях своевременного выполнения мероприятий плана работы осуществлялись координация и взаимодействие с контрольно-счетными органами субъектов РФ;</w:t>
      </w:r>
    </w:p>
    <w:p w:rsidR="0014169E" w:rsidRPr="007A2832" w:rsidRDefault="0014169E" w:rsidP="00EF5EF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в адрес руководителей отделений Совета в федеральных округах направлены письма с указанием сроков, установленных для заполнения контрольно-счетными органами субъектов РФ данных на портале Счетной палаты РФ и контрольно-счетных органов РФ.</w:t>
      </w:r>
    </w:p>
    <w:p w:rsidR="0014169E" w:rsidRPr="007A2832" w:rsidRDefault="0014169E" w:rsidP="00EF5E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2. На основе информации, сформированной КСО субъектов РФ на портале Счетной палаты РФ и контрольно-счетных органов РФ, совместно с информационно-аналитической комиссией Совета, председателями контрольно-счетных органов субъектов РФ, Союзом муниципальных контрольно-счетных органов проведен анализ</w:t>
      </w:r>
      <w:r w:rsidR="002876E9">
        <w:rPr>
          <w:sz w:val="28"/>
          <w:szCs w:val="28"/>
        </w:rPr>
        <w:t xml:space="preserve"> показателей </w:t>
      </w:r>
      <w:r w:rsidRPr="007A2832">
        <w:rPr>
          <w:sz w:val="28"/>
          <w:szCs w:val="28"/>
        </w:rPr>
        <w:t>организации и деятельности контрольно-счетных органов муниципальных образований.</w:t>
      </w:r>
    </w:p>
    <w:p w:rsidR="0014169E" w:rsidRPr="007A2832" w:rsidRDefault="0014169E" w:rsidP="00EF5E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Результаты анализа представлены далее в отчете.</w:t>
      </w:r>
    </w:p>
    <w:p w:rsidR="0014169E" w:rsidRPr="007A2832" w:rsidRDefault="0014169E" w:rsidP="00EF5EF0">
      <w:pPr>
        <w:ind w:firstLine="720"/>
        <w:jc w:val="both"/>
        <w:rPr>
          <w:b/>
          <w:sz w:val="28"/>
          <w:szCs w:val="28"/>
        </w:rPr>
      </w:pPr>
    </w:p>
    <w:p w:rsidR="0014169E" w:rsidRPr="007A2832" w:rsidRDefault="0014169E" w:rsidP="00EF5EF0">
      <w:pPr>
        <w:ind w:firstLine="720"/>
        <w:jc w:val="both"/>
        <w:rPr>
          <w:b/>
          <w:sz w:val="28"/>
          <w:szCs w:val="28"/>
        </w:rPr>
      </w:pPr>
      <w:r w:rsidRPr="007A2832">
        <w:rPr>
          <w:b/>
          <w:sz w:val="28"/>
          <w:szCs w:val="28"/>
        </w:rPr>
        <w:t>В соответствии с планом работы Совета контрольно-счетных органов при Счетной палате РФ Комиссией в 2017 году проведены</w:t>
      </w:r>
      <w:r w:rsidR="00D57DB8" w:rsidRPr="007A2832">
        <w:rPr>
          <w:b/>
          <w:sz w:val="28"/>
          <w:szCs w:val="28"/>
        </w:rPr>
        <w:t xml:space="preserve"> следующие мероприятия</w:t>
      </w:r>
      <w:r w:rsidRPr="007A2832">
        <w:rPr>
          <w:b/>
          <w:sz w:val="28"/>
          <w:szCs w:val="28"/>
        </w:rPr>
        <w:t>:</w:t>
      </w:r>
    </w:p>
    <w:p w:rsidR="0014169E" w:rsidRPr="007A2832" w:rsidRDefault="0014169E" w:rsidP="00EF5EF0">
      <w:pPr>
        <w:shd w:val="clear" w:color="auto" w:fill="FFFFFF"/>
        <w:tabs>
          <w:tab w:val="left" w:pos="893"/>
        </w:tabs>
        <w:ind w:left="34" w:right="14" w:firstLine="701"/>
        <w:jc w:val="both"/>
        <w:rPr>
          <w:sz w:val="28"/>
          <w:szCs w:val="28"/>
          <w:u w:val="single"/>
        </w:rPr>
      </w:pPr>
      <w:r w:rsidRPr="007A2832">
        <w:rPr>
          <w:sz w:val="28"/>
          <w:szCs w:val="28"/>
          <w:u w:val="single"/>
        </w:rPr>
        <w:t>Сбор, обобщение и анализ информации о создании контрольно-счетных органов муниципальных образований и их объединений в субъектах Российской Федерации  (п. 4.4.1 плана Совета, п. 2.1.4 плана Комиссии)</w:t>
      </w:r>
    </w:p>
    <w:p w:rsidR="0014169E" w:rsidRPr="007A2832" w:rsidRDefault="0014169E" w:rsidP="00EF5EF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Комиссией проведен анализ данных, размещенных региональными контрольно-счетными органами </w:t>
      </w:r>
      <w:r w:rsidR="006256F3" w:rsidRPr="007A2832">
        <w:rPr>
          <w:sz w:val="28"/>
          <w:szCs w:val="28"/>
        </w:rPr>
        <w:t xml:space="preserve">на Портале СП РФ и КСО РФ </w:t>
      </w:r>
      <w:r w:rsidRPr="007A2832">
        <w:rPr>
          <w:sz w:val="28"/>
          <w:szCs w:val="28"/>
        </w:rPr>
        <w:t>о создании в регионах Российской Федерации органов внешнего муниципального финансового контроля и их объединений по состоянию на 01.01.2017 и на 01.07.2017</w:t>
      </w:r>
      <w:r w:rsidR="006256F3" w:rsidRPr="007A2832">
        <w:rPr>
          <w:sz w:val="28"/>
          <w:szCs w:val="28"/>
        </w:rPr>
        <w:t>.</w:t>
      </w:r>
    </w:p>
    <w:p w:rsidR="0014169E" w:rsidRDefault="0014169E" w:rsidP="00EF5EF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По состоянию на 1 января 2017 года контрольно-счетные органы созданы в 83,3% муниципальных районов, 94,4% городских округов, 100% городских округов с внутригородским делением, 1% городских и сельских поселений. Доля поселений, передавших контрольно-счетным органам муниципальных районов полномочия по осуществлению внешнего муниципального финансового контроля, составила 67,7%.</w:t>
      </w:r>
    </w:p>
    <w:p w:rsidR="0014169E" w:rsidRPr="00F8788D" w:rsidRDefault="0014169E" w:rsidP="00EF5EF0">
      <w:pPr>
        <w:ind w:firstLine="709"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За период с 01.01.2017 по 01.07.2017 общее </w:t>
      </w:r>
      <w:r>
        <w:rPr>
          <w:sz w:val="28"/>
          <w:szCs w:val="28"/>
        </w:rPr>
        <w:t xml:space="preserve">количество муниципальных контрольно-счетных органов увеличилось на 0,8% (17 ед.) и составило 2233 единицы, </w:t>
      </w:r>
      <w:r w:rsidRPr="00F8788D">
        <w:rPr>
          <w:sz w:val="28"/>
          <w:szCs w:val="28"/>
        </w:rPr>
        <w:t>данные представлены в таблице 1.</w:t>
      </w:r>
    </w:p>
    <w:p w:rsidR="0014169E" w:rsidRPr="00F8788D" w:rsidRDefault="0014169E" w:rsidP="00EF5EF0">
      <w:pPr>
        <w:ind w:firstLine="567"/>
        <w:jc w:val="right"/>
        <w:rPr>
          <w:sz w:val="28"/>
          <w:szCs w:val="28"/>
        </w:rPr>
      </w:pPr>
      <w:r w:rsidRPr="00F8788D">
        <w:rPr>
          <w:sz w:val="28"/>
          <w:szCs w:val="28"/>
        </w:rPr>
        <w:t>Таблица 1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1134"/>
        <w:gridCol w:w="959"/>
        <w:gridCol w:w="1275"/>
        <w:gridCol w:w="1276"/>
        <w:gridCol w:w="1046"/>
        <w:gridCol w:w="1276"/>
      </w:tblGrid>
      <w:tr w:rsidR="0014169E" w:rsidRPr="00F8788D" w:rsidTr="005801A8">
        <w:trPr>
          <w:tblHeader/>
          <w:jc w:val="center"/>
        </w:trPr>
        <w:tc>
          <w:tcPr>
            <w:tcW w:w="2338" w:type="dxa"/>
            <w:vMerge w:val="restart"/>
            <w:vAlign w:val="center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Наименование федерального округа</w:t>
            </w:r>
          </w:p>
        </w:tc>
        <w:tc>
          <w:tcPr>
            <w:tcW w:w="3368" w:type="dxa"/>
            <w:gridSpan w:val="3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 xml:space="preserve">01.01.2017 </w:t>
            </w:r>
          </w:p>
        </w:tc>
        <w:tc>
          <w:tcPr>
            <w:tcW w:w="3598" w:type="dxa"/>
            <w:gridSpan w:val="3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 xml:space="preserve">01.07.2017 </w:t>
            </w:r>
          </w:p>
        </w:tc>
      </w:tr>
      <w:tr w:rsidR="0014169E" w:rsidRPr="00F8788D" w:rsidTr="005801A8">
        <w:trPr>
          <w:tblHeader/>
          <w:jc w:val="center"/>
        </w:trPr>
        <w:tc>
          <w:tcPr>
            <w:tcW w:w="2338" w:type="dxa"/>
            <w:vMerge/>
            <w:vAlign w:val="center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Всего мун. образ-ий</w:t>
            </w:r>
          </w:p>
        </w:tc>
        <w:tc>
          <w:tcPr>
            <w:tcW w:w="959" w:type="dxa"/>
            <w:vAlign w:val="center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Создано МКСО</w:t>
            </w:r>
          </w:p>
        </w:tc>
        <w:tc>
          <w:tcPr>
            <w:tcW w:w="1275" w:type="dxa"/>
            <w:vAlign w:val="center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% от общего кол-ва МО</w:t>
            </w:r>
          </w:p>
        </w:tc>
        <w:tc>
          <w:tcPr>
            <w:tcW w:w="1276" w:type="dxa"/>
            <w:vAlign w:val="center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Всего мун. образ-ий</w:t>
            </w:r>
          </w:p>
        </w:tc>
        <w:tc>
          <w:tcPr>
            <w:tcW w:w="1046" w:type="dxa"/>
            <w:vAlign w:val="center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Создано МКСО</w:t>
            </w:r>
          </w:p>
        </w:tc>
        <w:tc>
          <w:tcPr>
            <w:tcW w:w="1276" w:type="dxa"/>
            <w:vAlign w:val="center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% от общего кол-ва МО</w:t>
            </w:r>
          </w:p>
        </w:tc>
      </w:tr>
      <w:tr w:rsidR="0014169E" w:rsidRPr="00F8788D" w:rsidTr="005801A8">
        <w:trPr>
          <w:jc w:val="center"/>
        </w:trPr>
        <w:tc>
          <w:tcPr>
            <w:tcW w:w="2338" w:type="dxa"/>
          </w:tcPr>
          <w:p w:rsidR="0014169E" w:rsidRPr="00651E2B" w:rsidRDefault="0014169E" w:rsidP="005801A8">
            <w:pPr>
              <w:jc w:val="both"/>
            </w:pPr>
            <w:r w:rsidRPr="00D66C8B">
              <w:rPr>
                <w:bCs/>
                <w:color w:val="000000"/>
              </w:rPr>
              <w:t xml:space="preserve">Центральный </w:t>
            </w:r>
          </w:p>
        </w:tc>
        <w:tc>
          <w:tcPr>
            <w:tcW w:w="1134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4701</w:t>
            </w:r>
          </w:p>
        </w:tc>
        <w:tc>
          <w:tcPr>
            <w:tcW w:w="959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559</w:t>
            </w:r>
          </w:p>
        </w:tc>
        <w:tc>
          <w:tcPr>
            <w:tcW w:w="1275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11,9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4614</w:t>
            </w:r>
          </w:p>
        </w:tc>
        <w:tc>
          <w:tcPr>
            <w:tcW w:w="104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564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12,2</w:t>
            </w:r>
          </w:p>
        </w:tc>
      </w:tr>
      <w:tr w:rsidR="0014169E" w:rsidRPr="00F8788D" w:rsidTr="005801A8">
        <w:trPr>
          <w:jc w:val="center"/>
        </w:trPr>
        <w:tc>
          <w:tcPr>
            <w:tcW w:w="2338" w:type="dxa"/>
          </w:tcPr>
          <w:p w:rsidR="0014169E" w:rsidRPr="00651E2B" w:rsidRDefault="0014169E" w:rsidP="005801A8">
            <w:pPr>
              <w:jc w:val="both"/>
            </w:pPr>
            <w:r w:rsidRPr="00D66C8B">
              <w:rPr>
                <w:bCs/>
                <w:color w:val="000000"/>
              </w:rPr>
              <w:t xml:space="preserve">Северо-Западный </w:t>
            </w:r>
          </w:p>
        </w:tc>
        <w:tc>
          <w:tcPr>
            <w:tcW w:w="1134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1463</w:t>
            </w:r>
          </w:p>
        </w:tc>
        <w:tc>
          <w:tcPr>
            <w:tcW w:w="959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195</w:t>
            </w:r>
          </w:p>
        </w:tc>
        <w:tc>
          <w:tcPr>
            <w:tcW w:w="1275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13,3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1457</w:t>
            </w:r>
          </w:p>
        </w:tc>
        <w:tc>
          <w:tcPr>
            <w:tcW w:w="104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199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13,7</w:t>
            </w:r>
          </w:p>
        </w:tc>
      </w:tr>
      <w:tr w:rsidR="0014169E" w:rsidRPr="00F8788D" w:rsidTr="005801A8">
        <w:trPr>
          <w:jc w:val="center"/>
        </w:trPr>
        <w:tc>
          <w:tcPr>
            <w:tcW w:w="2338" w:type="dxa"/>
          </w:tcPr>
          <w:p w:rsidR="0014169E" w:rsidRPr="00651E2B" w:rsidRDefault="0014169E" w:rsidP="005801A8">
            <w:pPr>
              <w:jc w:val="both"/>
            </w:pPr>
            <w:r w:rsidRPr="00D66C8B">
              <w:rPr>
                <w:bCs/>
                <w:color w:val="000000"/>
              </w:rPr>
              <w:lastRenderedPageBreak/>
              <w:t xml:space="preserve">Южный </w:t>
            </w:r>
          </w:p>
        </w:tc>
        <w:tc>
          <w:tcPr>
            <w:tcW w:w="1134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1590</w:t>
            </w:r>
          </w:p>
        </w:tc>
        <w:tc>
          <w:tcPr>
            <w:tcW w:w="959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172</w:t>
            </w:r>
          </w:p>
        </w:tc>
        <w:tc>
          <w:tcPr>
            <w:tcW w:w="1275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10,8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1558</w:t>
            </w:r>
          </w:p>
        </w:tc>
        <w:tc>
          <w:tcPr>
            <w:tcW w:w="104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175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11,2</w:t>
            </w:r>
          </w:p>
        </w:tc>
      </w:tr>
      <w:tr w:rsidR="0014169E" w:rsidRPr="00F8788D" w:rsidTr="005801A8">
        <w:trPr>
          <w:jc w:val="center"/>
        </w:trPr>
        <w:tc>
          <w:tcPr>
            <w:tcW w:w="2338" w:type="dxa"/>
          </w:tcPr>
          <w:p w:rsidR="0014169E" w:rsidRPr="00651E2B" w:rsidRDefault="0014169E" w:rsidP="005801A8">
            <w:pPr>
              <w:jc w:val="both"/>
            </w:pPr>
            <w:r w:rsidRPr="00D66C8B">
              <w:rPr>
                <w:bCs/>
                <w:color w:val="000000"/>
              </w:rPr>
              <w:t xml:space="preserve">Северо-Кавказский </w:t>
            </w:r>
          </w:p>
        </w:tc>
        <w:tc>
          <w:tcPr>
            <w:tcW w:w="1134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1620</w:t>
            </w:r>
          </w:p>
        </w:tc>
        <w:tc>
          <w:tcPr>
            <w:tcW w:w="959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130</w:t>
            </w:r>
          </w:p>
        </w:tc>
        <w:tc>
          <w:tcPr>
            <w:tcW w:w="1275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8,0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1600</w:t>
            </w:r>
          </w:p>
        </w:tc>
        <w:tc>
          <w:tcPr>
            <w:tcW w:w="104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129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8,1</w:t>
            </w:r>
          </w:p>
        </w:tc>
      </w:tr>
      <w:tr w:rsidR="0014169E" w:rsidRPr="00F8788D" w:rsidTr="005801A8">
        <w:trPr>
          <w:jc w:val="center"/>
        </w:trPr>
        <w:tc>
          <w:tcPr>
            <w:tcW w:w="2338" w:type="dxa"/>
          </w:tcPr>
          <w:p w:rsidR="0014169E" w:rsidRPr="00651E2B" w:rsidRDefault="0014169E" w:rsidP="005801A8">
            <w:pPr>
              <w:jc w:val="both"/>
            </w:pPr>
            <w:r w:rsidRPr="00D66C8B">
              <w:rPr>
                <w:bCs/>
                <w:color w:val="000000"/>
              </w:rPr>
              <w:t xml:space="preserve">Приволжский </w:t>
            </w:r>
          </w:p>
        </w:tc>
        <w:tc>
          <w:tcPr>
            <w:tcW w:w="1134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5579</w:t>
            </w:r>
          </w:p>
        </w:tc>
        <w:tc>
          <w:tcPr>
            <w:tcW w:w="959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458</w:t>
            </w:r>
          </w:p>
        </w:tc>
        <w:tc>
          <w:tcPr>
            <w:tcW w:w="1275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8,2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5570</w:t>
            </w:r>
          </w:p>
        </w:tc>
        <w:tc>
          <w:tcPr>
            <w:tcW w:w="104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464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8,3</w:t>
            </w:r>
          </w:p>
        </w:tc>
      </w:tr>
      <w:tr w:rsidR="0014169E" w:rsidRPr="00F8788D" w:rsidTr="005801A8">
        <w:trPr>
          <w:trHeight w:val="129"/>
          <w:jc w:val="center"/>
        </w:trPr>
        <w:tc>
          <w:tcPr>
            <w:tcW w:w="2338" w:type="dxa"/>
            <w:vAlign w:val="bottom"/>
          </w:tcPr>
          <w:p w:rsidR="0014169E" w:rsidRPr="00D66C8B" w:rsidRDefault="0014169E" w:rsidP="005801A8">
            <w:pPr>
              <w:rPr>
                <w:bCs/>
                <w:color w:val="000000"/>
              </w:rPr>
            </w:pPr>
            <w:r w:rsidRPr="00D66C8B">
              <w:rPr>
                <w:bCs/>
                <w:color w:val="000000"/>
              </w:rPr>
              <w:t xml:space="preserve">Уральский </w:t>
            </w:r>
          </w:p>
        </w:tc>
        <w:tc>
          <w:tcPr>
            <w:tcW w:w="1134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1362</w:t>
            </w:r>
          </w:p>
        </w:tc>
        <w:tc>
          <w:tcPr>
            <w:tcW w:w="959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196</w:t>
            </w:r>
          </w:p>
        </w:tc>
        <w:tc>
          <w:tcPr>
            <w:tcW w:w="1275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14,4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1362</w:t>
            </w:r>
          </w:p>
        </w:tc>
        <w:tc>
          <w:tcPr>
            <w:tcW w:w="104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196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14,4</w:t>
            </w:r>
          </w:p>
        </w:tc>
      </w:tr>
      <w:tr w:rsidR="0014169E" w:rsidRPr="00F8788D" w:rsidTr="005801A8">
        <w:trPr>
          <w:jc w:val="center"/>
        </w:trPr>
        <w:tc>
          <w:tcPr>
            <w:tcW w:w="2338" w:type="dxa"/>
          </w:tcPr>
          <w:p w:rsidR="0014169E" w:rsidRPr="00651E2B" w:rsidRDefault="0014169E" w:rsidP="005801A8">
            <w:pPr>
              <w:jc w:val="both"/>
            </w:pPr>
            <w:r w:rsidRPr="00D66C8B">
              <w:rPr>
                <w:bCs/>
                <w:color w:val="000000"/>
              </w:rPr>
              <w:t xml:space="preserve">Сибирский </w:t>
            </w:r>
          </w:p>
        </w:tc>
        <w:tc>
          <w:tcPr>
            <w:tcW w:w="1134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3985</w:t>
            </w:r>
          </w:p>
        </w:tc>
        <w:tc>
          <w:tcPr>
            <w:tcW w:w="959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328</w:t>
            </w:r>
          </w:p>
        </w:tc>
        <w:tc>
          <w:tcPr>
            <w:tcW w:w="1275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8,2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4093</w:t>
            </w:r>
          </w:p>
        </w:tc>
        <w:tc>
          <w:tcPr>
            <w:tcW w:w="104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328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8,0</w:t>
            </w:r>
          </w:p>
        </w:tc>
      </w:tr>
      <w:tr w:rsidR="0014169E" w:rsidRPr="00F8788D" w:rsidTr="005801A8">
        <w:trPr>
          <w:jc w:val="center"/>
        </w:trPr>
        <w:tc>
          <w:tcPr>
            <w:tcW w:w="2338" w:type="dxa"/>
          </w:tcPr>
          <w:p w:rsidR="0014169E" w:rsidRPr="00651E2B" w:rsidRDefault="0014169E" w:rsidP="005801A8">
            <w:pPr>
              <w:jc w:val="both"/>
            </w:pPr>
            <w:r w:rsidRPr="00D66C8B">
              <w:rPr>
                <w:bCs/>
                <w:color w:val="000000"/>
              </w:rPr>
              <w:t xml:space="preserve">Дальневосточный </w:t>
            </w:r>
          </w:p>
        </w:tc>
        <w:tc>
          <w:tcPr>
            <w:tcW w:w="1134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1278</w:t>
            </w:r>
          </w:p>
        </w:tc>
        <w:tc>
          <w:tcPr>
            <w:tcW w:w="959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178</w:t>
            </w:r>
          </w:p>
        </w:tc>
        <w:tc>
          <w:tcPr>
            <w:tcW w:w="1275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13,9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1278</w:t>
            </w:r>
          </w:p>
        </w:tc>
        <w:tc>
          <w:tcPr>
            <w:tcW w:w="104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178</w:t>
            </w:r>
          </w:p>
        </w:tc>
        <w:tc>
          <w:tcPr>
            <w:tcW w:w="1276" w:type="dxa"/>
            <w:vAlign w:val="center"/>
          </w:tcPr>
          <w:p w:rsidR="0014169E" w:rsidRPr="00F8788D" w:rsidRDefault="0014169E" w:rsidP="005801A8">
            <w:pPr>
              <w:jc w:val="center"/>
            </w:pPr>
            <w:r w:rsidRPr="00F8788D">
              <w:t>13,9</w:t>
            </w:r>
          </w:p>
        </w:tc>
      </w:tr>
      <w:tr w:rsidR="0014169E" w:rsidRPr="00F8788D" w:rsidTr="005801A8">
        <w:trPr>
          <w:jc w:val="center"/>
        </w:trPr>
        <w:tc>
          <w:tcPr>
            <w:tcW w:w="2338" w:type="dxa"/>
          </w:tcPr>
          <w:p w:rsidR="0014169E" w:rsidRPr="00D66C8B" w:rsidRDefault="0014169E" w:rsidP="005801A8">
            <w:pPr>
              <w:jc w:val="both"/>
              <w:rPr>
                <w:b/>
                <w:sz w:val="20"/>
                <w:szCs w:val="20"/>
              </w:rPr>
            </w:pPr>
            <w:r w:rsidRPr="00D66C8B">
              <w:rPr>
                <w:b/>
                <w:b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  <w:color w:val="000000"/>
              </w:rPr>
              <w:t>21578</w:t>
            </w:r>
          </w:p>
        </w:tc>
        <w:tc>
          <w:tcPr>
            <w:tcW w:w="959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2216</w:t>
            </w:r>
          </w:p>
        </w:tc>
        <w:tc>
          <w:tcPr>
            <w:tcW w:w="1275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10,3</w:t>
            </w:r>
          </w:p>
        </w:tc>
        <w:tc>
          <w:tcPr>
            <w:tcW w:w="1276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21532</w:t>
            </w:r>
          </w:p>
        </w:tc>
        <w:tc>
          <w:tcPr>
            <w:tcW w:w="1046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2233</w:t>
            </w:r>
          </w:p>
        </w:tc>
        <w:tc>
          <w:tcPr>
            <w:tcW w:w="1276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10,4</w:t>
            </w:r>
          </w:p>
        </w:tc>
      </w:tr>
    </w:tbl>
    <w:p w:rsidR="0014169E" w:rsidRPr="00F8788D" w:rsidRDefault="0014169E" w:rsidP="00EF5EF0">
      <w:pPr>
        <w:ind w:firstLine="709"/>
        <w:jc w:val="both"/>
        <w:rPr>
          <w:sz w:val="28"/>
          <w:szCs w:val="28"/>
        </w:rPr>
      </w:pPr>
    </w:p>
    <w:p w:rsidR="0014169E" w:rsidRPr="00F8788D" w:rsidRDefault="0014169E" w:rsidP="00EF5EF0">
      <w:pPr>
        <w:ind w:firstLine="709"/>
        <w:jc w:val="both"/>
        <w:rPr>
          <w:sz w:val="28"/>
          <w:szCs w:val="28"/>
        </w:rPr>
      </w:pPr>
      <w:r w:rsidRPr="00F8788D">
        <w:rPr>
          <w:sz w:val="28"/>
          <w:szCs w:val="28"/>
        </w:rPr>
        <w:t>По состоянию на 01.07.2017 контрольн</w:t>
      </w:r>
      <w:r>
        <w:rPr>
          <w:sz w:val="28"/>
          <w:szCs w:val="28"/>
        </w:rPr>
        <w:t>о-счетные органы имеются в 10,4</w:t>
      </w:r>
      <w:r w:rsidRPr="00F8788D">
        <w:rPr>
          <w:sz w:val="28"/>
          <w:szCs w:val="28"/>
        </w:rPr>
        <w:t>% муниципальных образований Российской Федерации.</w:t>
      </w:r>
    </w:p>
    <w:p w:rsidR="0014169E" w:rsidRPr="00F8788D" w:rsidRDefault="0014169E" w:rsidP="00EF5EF0">
      <w:pPr>
        <w:ind w:firstLine="720"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муниципальных контрольно-счетных органов</w:t>
      </w:r>
      <w:r w:rsidRPr="00F8788D">
        <w:rPr>
          <w:sz w:val="28"/>
          <w:szCs w:val="28"/>
        </w:rPr>
        <w:t>, обладающих статусом юридического л</w:t>
      </w:r>
      <w:r>
        <w:rPr>
          <w:sz w:val="28"/>
          <w:szCs w:val="28"/>
        </w:rPr>
        <w:t xml:space="preserve">ица, возросло за анализируемый </w:t>
      </w:r>
      <w:r w:rsidRPr="00F8788D">
        <w:rPr>
          <w:sz w:val="28"/>
          <w:szCs w:val="28"/>
        </w:rPr>
        <w:t xml:space="preserve">период на 21 единицу и составило 1224 МКСО, или 54,8% от общего количества созданных. </w:t>
      </w:r>
    </w:p>
    <w:p w:rsidR="0014169E" w:rsidRPr="00F8788D" w:rsidRDefault="0014169E" w:rsidP="00EF5EF0">
      <w:pPr>
        <w:ind w:firstLine="720"/>
        <w:jc w:val="both"/>
        <w:rPr>
          <w:sz w:val="28"/>
          <w:szCs w:val="28"/>
        </w:rPr>
      </w:pPr>
      <w:r w:rsidRPr="00F8788D">
        <w:rPr>
          <w:sz w:val="28"/>
          <w:szCs w:val="28"/>
        </w:rPr>
        <w:t>На 01.07.2017 из общего количества М</w:t>
      </w:r>
      <w:r>
        <w:rPr>
          <w:sz w:val="28"/>
          <w:szCs w:val="28"/>
        </w:rPr>
        <w:t xml:space="preserve">КСО </w:t>
      </w:r>
      <w:r w:rsidRPr="00F8788D">
        <w:rPr>
          <w:sz w:val="28"/>
          <w:szCs w:val="28"/>
        </w:rPr>
        <w:t xml:space="preserve">наибольшая часть создана в городских округах (с учетом городских округов с внутригородским делением и внутригородских территорий г.Москвы) и муниципальных районах </w:t>
      </w:r>
      <w:r>
        <w:rPr>
          <w:sz w:val="28"/>
          <w:szCs w:val="28"/>
        </w:rPr>
        <w:t xml:space="preserve">– </w:t>
      </w:r>
      <w:r w:rsidRPr="00F8788D">
        <w:rPr>
          <w:sz w:val="28"/>
          <w:szCs w:val="28"/>
        </w:rPr>
        <w:t>2021</w:t>
      </w:r>
      <w:r>
        <w:rPr>
          <w:sz w:val="28"/>
          <w:szCs w:val="28"/>
        </w:rPr>
        <w:t xml:space="preserve"> единица</w:t>
      </w:r>
      <w:r w:rsidRPr="00F8788D">
        <w:rPr>
          <w:sz w:val="28"/>
          <w:szCs w:val="28"/>
        </w:rPr>
        <w:t>, охват органами внешнего финансового контроля городских и сельских по</w:t>
      </w:r>
      <w:r>
        <w:rPr>
          <w:sz w:val="28"/>
          <w:szCs w:val="28"/>
        </w:rPr>
        <w:t>селений составляет не более 9,5</w:t>
      </w:r>
      <w:r w:rsidRPr="00F8788D">
        <w:rPr>
          <w:sz w:val="28"/>
          <w:szCs w:val="28"/>
        </w:rPr>
        <w:t>% от общего числа созданных МКСО.</w:t>
      </w:r>
      <w:r>
        <w:rPr>
          <w:sz w:val="28"/>
          <w:szCs w:val="28"/>
        </w:rPr>
        <w:t xml:space="preserve"> </w:t>
      </w:r>
    </w:p>
    <w:p w:rsidR="0014169E" w:rsidRPr="00F8788D" w:rsidRDefault="0014169E" w:rsidP="00EF5EF0">
      <w:pPr>
        <w:ind w:firstLine="709"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В определенной степени это обусловлено возможностью передачи полномочий контрольно-счетных органов поселений по осуществлению внешнего муниципального финансового контроля на уровень муниципальных районов в соответствии с 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F8788D">
          <w:rPr>
            <w:sz w:val="28"/>
            <w:szCs w:val="28"/>
          </w:rPr>
          <w:t>2011 г</w:t>
        </w:r>
      </w:smartTag>
      <w:r w:rsidRPr="00F8788D">
        <w:rPr>
          <w:sz w:val="28"/>
          <w:szCs w:val="28"/>
        </w:rPr>
        <w:t>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4169E" w:rsidRPr="00F8788D" w:rsidRDefault="0014169E" w:rsidP="00EF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Обобщение данных по заключению соглашений представительных органов городских и сельских поселений с представительным органом муниципального района о передаче </w:t>
      </w:r>
      <w:r>
        <w:rPr>
          <w:sz w:val="28"/>
          <w:szCs w:val="28"/>
        </w:rPr>
        <w:t xml:space="preserve">контрольно-счетному органу </w:t>
      </w:r>
      <w:r w:rsidRPr="00F8788D">
        <w:rPr>
          <w:sz w:val="28"/>
          <w:szCs w:val="28"/>
        </w:rPr>
        <w:t xml:space="preserve">муниципального района полномочий </w:t>
      </w:r>
      <w:r>
        <w:rPr>
          <w:sz w:val="28"/>
          <w:szCs w:val="28"/>
        </w:rPr>
        <w:t>контрольно-счетного органа</w:t>
      </w:r>
      <w:r w:rsidRPr="00F8788D">
        <w:rPr>
          <w:sz w:val="28"/>
          <w:szCs w:val="28"/>
        </w:rPr>
        <w:t xml:space="preserve"> поселения по осуществлению внешнего муниципального финансового контроля показывает, что:</w:t>
      </w:r>
    </w:p>
    <w:p w:rsidR="0014169E" w:rsidRPr="00F8788D" w:rsidRDefault="0014169E" w:rsidP="00EF5EF0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F8788D">
        <w:rPr>
          <w:sz w:val="28"/>
          <w:szCs w:val="28"/>
        </w:rPr>
        <w:t>- на 01.01.2017 заключено 12807 соглашений о передаче полномочий, или 68,4 % от числа городских и сельских поселений Российской Федерации, не имеющих КСО (18715);</w:t>
      </w:r>
    </w:p>
    <w:p w:rsidR="0014169E" w:rsidRPr="007A2832" w:rsidRDefault="0014169E" w:rsidP="00EF5EF0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7A2832">
        <w:rPr>
          <w:sz w:val="28"/>
          <w:szCs w:val="28"/>
        </w:rPr>
        <w:t>- на 01.07.2017 заключено 12934 соглашения о передаче полномочий, или 69,2 % от числа городских и сельских поселений Российской Федерации, не имеющих КСО (18699).</w:t>
      </w:r>
      <w:r w:rsidRPr="007A2832">
        <w:rPr>
          <w:color w:val="0000FF"/>
          <w:sz w:val="28"/>
          <w:szCs w:val="28"/>
        </w:rPr>
        <w:t xml:space="preserve"> </w:t>
      </w:r>
    </w:p>
    <w:p w:rsidR="0014169E" w:rsidRPr="007A2832" w:rsidRDefault="0014169E" w:rsidP="00EF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Таким образом, на 01.07.2017 количество соглашений возросло на 127 единиц по сравнению с данными на 01.01.2017. Вместе с тем, в 14,7 % муниципальных районов и 4,8 % городских округов Российской Федерации не исполняются требования статьи 264.4 Бюджетного кодекса Российской Федерации и нормы Федерального закона от 7 февраля  2011 года № 6-ФЗ </w:t>
      </w:r>
      <w:r w:rsidR="00887201" w:rsidRPr="007A2832">
        <w:rPr>
          <w:sz w:val="28"/>
          <w:szCs w:val="28"/>
        </w:rPr>
        <w:t xml:space="preserve">в </w:t>
      </w:r>
      <w:r w:rsidR="00887201" w:rsidRPr="007A2832">
        <w:rPr>
          <w:sz w:val="28"/>
          <w:szCs w:val="28"/>
        </w:rPr>
        <w:lastRenderedPageBreak/>
        <w:t xml:space="preserve">части </w:t>
      </w:r>
      <w:r w:rsidRPr="007A2832">
        <w:rPr>
          <w:sz w:val="28"/>
          <w:szCs w:val="28"/>
        </w:rPr>
        <w:t xml:space="preserve">организации внешнего финансового контроля бюджетов муниципальных образований, а отсутствие контрольно-счетных органов в муниципальных районах не позволяет реализовать городским и сельским поселениям субъектов РФ пункт 11 статьи 3 Федерального закона № 6-ФЗ о заключении соглашения о передаче полномочий по внешнему финансовому контролю, как результат 30,5% бюджетов городских и сельских поселений  РФ находится вне поля зрения органов внешнего финансового контроля. </w:t>
      </w:r>
    </w:p>
    <w:p w:rsidR="0014169E" w:rsidRPr="007A2832" w:rsidRDefault="0014169E" w:rsidP="00EF5EF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Значительную роль в обеспечении взаимодействия Счетной палаты РФ, контрольно-счетных органов субъектов РФ и муниципальных образований, а также оказания муниципальным контрольно-счетным органам организационной, правовой, методической, информационной и иной помощи играет создание объединений контрольно-счетных органов в субъектах РФ. Деятельность регионального объединения особенно важна в период становления и развития вновь созданных контрольно-счетных органов.</w:t>
      </w:r>
    </w:p>
    <w:p w:rsidR="0014169E" w:rsidRPr="007A2832" w:rsidRDefault="0014169E" w:rsidP="0030769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По состоянию на 01.01.2017 объединения контрольно-счетных органов созданы в 76 субъектах РФ, 4 из них являются юридическими лицами, 72 не наделены правами юридического лица. </w:t>
      </w:r>
    </w:p>
    <w:p w:rsidR="0014169E" w:rsidRPr="00A97631" w:rsidRDefault="0014169E" w:rsidP="0030769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На 01.07.2017 в субъектах РФ создано 77 объединений контрольно-счетных органов, 4 из них являются юридическими лицами, 73 не наделены правами юридического лица.</w:t>
      </w:r>
      <w:r w:rsidRPr="0030769F">
        <w:rPr>
          <w:sz w:val="28"/>
          <w:szCs w:val="28"/>
        </w:rPr>
        <w:t xml:space="preserve"> </w:t>
      </w:r>
    </w:p>
    <w:p w:rsidR="0014169E" w:rsidRPr="00F8788D" w:rsidRDefault="0014169E" w:rsidP="00EF5EF0">
      <w:pPr>
        <w:shd w:val="clear" w:color="auto" w:fill="FFFFFF"/>
        <w:ind w:firstLine="709"/>
        <w:jc w:val="both"/>
        <w:rPr>
          <w:sz w:val="28"/>
          <w:szCs w:val="28"/>
        </w:rPr>
      </w:pPr>
      <w:r w:rsidRPr="00F8788D">
        <w:rPr>
          <w:sz w:val="28"/>
          <w:szCs w:val="28"/>
        </w:rPr>
        <w:t>По форме объединения распределились следующим образом:</w:t>
      </w:r>
    </w:p>
    <w:p w:rsidR="0014169E" w:rsidRPr="00F8788D" w:rsidRDefault="0014169E" w:rsidP="00EF5EF0">
      <w:pPr>
        <w:shd w:val="clear" w:color="auto" w:fill="FFFFFF"/>
        <w:ind w:firstLine="709"/>
        <w:jc w:val="both"/>
        <w:rPr>
          <w:sz w:val="28"/>
          <w:szCs w:val="28"/>
        </w:rPr>
      </w:pPr>
      <w:r w:rsidRPr="00F8788D">
        <w:rPr>
          <w:sz w:val="28"/>
          <w:szCs w:val="28"/>
        </w:rPr>
        <w:t>-  Ассоциации контрольно-счетных органов – 8;</w:t>
      </w:r>
    </w:p>
    <w:p w:rsidR="0014169E" w:rsidRPr="007A2832" w:rsidRDefault="0014169E" w:rsidP="00EF5EF0">
      <w:pPr>
        <w:shd w:val="clear" w:color="auto" w:fill="FFFFFF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 Советы контрольно-счетных органов – 67;</w:t>
      </w:r>
    </w:p>
    <w:p w:rsidR="0014169E" w:rsidRPr="007A2832" w:rsidRDefault="0014169E" w:rsidP="00EF5EF0">
      <w:pPr>
        <w:shd w:val="clear" w:color="auto" w:fill="FFFFFF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 Союзы контрольно-счетных органов – 1;</w:t>
      </w:r>
    </w:p>
    <w:p w:rsidR="0014169E" w:rsidRPr="007A2832" w:rsidRDefault="0014169E" w:rsidP="00EF5EF0">
      <w:pPr>
        <w:shd w:val="clear" w:color="auto" w:fill="FFFFFF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 Объединения контрольно-счетных органов - 1.  </w:t>
      </w:r>
    </w:p>
    <w:p w:rsidR="0014169E" w:rsidRPr="007A2832" w:rsidRDefault="0014169E" w:rsidP="00EF5EF0">
      <w:pPr>
        <w:shd w:val="clear" w:color="auto" w:fill="FFFFFF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На 01.07.2017 объединения контрольно-счетных органов не созданы в 6 регионах РФ: в Костромской (30 КСО), Калининградской (27 КСО) и Омской областях (6 КСО), в Республике Марий Эл (по причине отсутствия МКСО), в Республике Мордовия и Чеченской Республике (в связи с функционированием только одного контрольно-счетного органа в субъекте).  </w:t>
      </w:r>
    </w:p>
    <w:p w:rsidR="0014169E" w:rsidRPr="007A2832" w:rsidRDefault="0014169E" w:rsidP="00EF5EF0">
      <w:pPr>
        <w:shd w:val="clear" w:color="auto" w:fill="FFFFFF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В некоторых субъектах РФ  в состав объединений контрольно-счетных органов входит менее 50 % от количества созданных МКСО (Ивановская, Кемеровская, Пензенская и Саратовская области).</w:t>
      </w:r>
    </w:p>
    <w:p w:rsidR="0014169E" w:rsidRPr="007A2832" w:rsidRDefault="0014169E" w:rsidP="00A16B43">
      <w:pPr>
        <w:ind w:firstLine="720"/>
        <w:jc w:val="both"/>
        <w:rPr>
          <w:sz w:val="28"/>
          <w:szCs w:val="28"/>
          <w:u w:val="single"/>
        </w:rPr>
      </w:pPr>
    </w:p>
    <w:p w:rsidR="0014169E" w:rsidRPr="007A2832" w:rsidRDefault="0014169E" w:rsidP="00CB37E6">
      <w:pPr>
        <w:ind w:firstLine="720"/>
        <w:jc w:val="both"/>
        <w:rPr>
          <w:sz w:val="28"/>
          <w:szCs w:val="28"/>
          <w:u w:val="single"/>
        </w:rPr>
      </w:pPr>
      <w:r w:rsidRPr="007A2832">
        <w:rPr>
          <w:sz w:val="28"/>
          <w:szCs w:val="28"/>
          <w:u w:val="single"/>
        </w:rPr>
        <w:t>Мониторинг штатной и фактической численности контрольно-счетных органов  муниципальных образований (п. 4.4.2 плана Совета, п.2.2.2 плана Комиссии).</w:t>
      </w:r>
    </w:p>
    <w:p w:rsidR="0014169E" w:rsidRPr="00F8788D" w:rsidRDefault="0014169E" w:rsidP="00CB37E6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bookmarkStart w:id="1" w:name="BM100098"/>
      <w:bookmarkEnd w:id="1"/>
      <w:r w:rsidRPr="007A2832">
        <w:rPr>
          <w:bCs/>
          <w:iCs/>
          <w:sz w:val="28"/>
          <w:szCs w:val="28"/>
        </w:rPr>
        <w:t>Реализация всех установленных законодательством РФ полномочий муниципальных органов внешнего</w:t>
      </w:r>
      <w:r w:rsidRPr="00F8788D">
        <w:rPr>
          <w:bCs/>
          <w:iCs/>
          <w:sz w:val="28"/>
          <w:szCs w:val="28"/>
        </w:rPr>
        <w:t xml:space="preserve"> финансового контроля возможна лишь при наличии количества штатных единиц, достаточного для их осуществления.   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В рамках мероприятия обобщены и проанализированы данные о штатной и фактической численности, об уровне профессиональной подготовки сотрудников МКСО субъектов РФ по состоянию на 01.01.2017 и на 01.07.2017.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Анализ выполнен на основе информации о кадровом обеспечении, размещенной на Портале </w:t>
      </w:r>
      <w:r>
        <w:rPr>
          <w:sz w:val="28"/>
          <w:szCs w:val="28"/>
        </w:rPr>
        <w:t>СП</w:t>
      </w:r>
      <w:r w:rsidRPr="00F8788D">
        <w:rPr>
          <w:sz w:val="28"/>
          <w:szCs w:val="28"/>
        </w:rPr>
        <w:t xml:space="preserve"> РФ и </w:t>
      </w:r>
      <w:r>
        <w:rPr>
          <w:sz w:val="28"/>
          <w:szCs w:val="28"/>
        </w:rPr>
        <w:t>КСО</w:t>
      </w:r>
      <w:r w:rsidRPr="00F8788D">
        <w:rPr>
          <w:sz w:val="28"/>
          <w:szCs w:val="28"/>
        </w:rPr>
        <w:t xml:space="preserve"> РФ: на 01.01.2017 в отношении 2020, </w:t>
      </w:r>
      <w:r w:rsidRPr="00F8788D">
        <w:rPr>
          <w:sz w:val="28"/>
          <w:szCs w:val="28"/>
        </w:rPr>
        <w:lastRenderedPageBreak/>
        <w:t>на 01.07.2017 в отношении 2042 контрольных органов, что составило 91 % от общего числа созданных МКСО на анализируемые даты.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По состоянию на 01.01.2017 штатная численность сотрудников МКСО  по представленным контрольным органам составила 6254 единицы, фактическая - 5558 единиц, укомплектованность кадрами – 88,9 %. 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По состоянию на 01.07.2017 штатная численность сотрудников МКСО по представленным контрольным органам составила 6275 единиц, фактическая - 5589 единиц, укомплектованность кадрами – 89,1 %.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Значение общей средней штатной и общей средней фактической численности сотрудников на 01.01.2017 и 01.07.2017 не претерпело изменений: средняя штатная численность соответствует 3,1 единицы, средняя фактическая - 2,8 единицы.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Вместе с тем, следует критично отнестись к данной обобщенной информации, поскольку численность </w:t>
      </w:r>
      <w:r>
        <w:rPr>
          <w:sz w:val="28"/>
          <w:szCs w:val="28"/>
        </w:rPr>
        <w:t>муниципальных контрольно-счетных органов</w:t>
      </w:r>
      <w:r w:rsidRPr="00F8788D">
        <w:rPr>
          <w:sz w:val="28"/>
          <w:szCs w:val="28"/>
        </w:rPr>
        <w:t xml:space="preserve"> достаточно сильно варьируется в зависимости от типа муниципального образования, в котором создан орган внешнего контроля.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Анализ ряда </w:t>
      </w:r>
      <w:r>
        <w:rPr>
          <w:sz w:val="28"/>
          <w:szCs w:val="28"/>
        </w:rPr>
        <w:t xml:space="preserve">контрольно-счетных органов муниципальных образований </w:t>
      </w:r>
      <w:r w:rsidRPr="00F8788D">
        <w:rPr>
          <w:sz w:val="28"/>
          <w:szCs w:val="28"/>
        </w:rPr>
        <w:t xml:space="preserve">субъектов Российской Федерации  показал зависимость штатной численности МКСО от территориального расположения контрольно-счетного органа и реализации права муниципального образования по утверждению структуры органов местного самоуправления. 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Средняя штатная и средняя фактическая численность </w:t>
      </w:r>
      <w:r>
        <w:rPr>
          <w:sz w:val="28"/>
          <w:szCs w:val="28"/>
        </w:rPr>
        <w:t>контрольно-счетных органов муниципальных образований</w:t>
      </w:r>
      <w:r w:rsidRPr="00F8788D">
        <w:rPr>
          <w:sz w:val="28"/>
          <w:szCs w:val="28"/>
        </w:rPr>
        <w:t xml:space="preserve"> по состоянию на 01.01.2017 составила: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- городских округов 5,2 единицы и 4,7 единицы соответственно;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- муниципальных районов 2,4 единицы и 2,1 единицы соответственно;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- город</w:t>
      </w:r>
      <w:r>
        <w:rPr>
          <w:sz w:val="28"/>
          <w:szCs w:val="28"/>
        </w:rPr>
        <w:t>ских поселений 1,9 единицы и 1,5</w:t>
      </w:r>
      <w:r w:rsidRPr="00F8788D">
        <w:rPr>
          <w:sz w:val="28"/>
          <w:szCs w:val="28"/>
        </w:rPr>
        <w:t xml:space="preserve"> единицы соответственно;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- сельских поселений 1,4 единицы и 1,1 единицы соответственно.</w:t>
      </w:r>
    </w:p>
    <w:p w:rsidR="0014169E" w:rsidRPr="007A2832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Наибольшая штатная численность характерна для </w:t>
      </w:r>
      <w:r>
        <w:rPr>
          <w:sz w:val="28"/>
          <w:szCs w:val="28"/>
        </w:rPr>
        <w:t>контрольно-счетных органов</w:t>
      </w:r>
      <w:r w:rsidRPr="00F8788D">
        <w:rPr>
          <w:sz w:val="28"/>
          <w:szCs w:val="28"/>
        </w:rPr>
        <w:t xml:space="preserve"> городских округов, наименьшая – для </w:t>
      </w:r>
      <w:r>
        <w:rPr>
          <w:sz w:val="28"/>
          <w:szCs w:val="28"/>
        </w:rPr>
        <w:t>контрольно-счетных органов</w:t>
      </w:r>
      <w:r w:rsidRPr="00F8788D">
        <w:rPr>
          <w:sz w:val="28"/>
          <w:szCs w:val="28"/>
        </w:rPr>
        <w:t xml:space="preserve"> городских и сельских поселений. Такая значительная дифференциация по </w:t>
      </w:r>
      <w:r w:rsidRPr="007A2832">
        <w:rPr>
          <w:sz w:val="28"/>
          <w:szCs w:val="28"/>
        </w:rPr>
        <w:t xml:space="preserve">численности работников в первую очередь связана с различными объемами бюджетов. </w:t>
      </w:r>
    </w:p>
    <w:p w:rsidR="0014169E" w:rsidRPr="007A2832" w:rsidRDefault="0014169E" w:rsidP="00CB37E6">
      <w:pPr>
        <w:shd w:val="clear" w:color="auto" w:fill="FFFFFF"/>
        <w:ind w:firstLine="708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Показательными являются данные о минимальных и максимальных значениях фактической численности контрольно-счетных органов в разрезе типов муниципальных образований. Так, по состоянию на 1 января 2017 года минимальное значение данного показателя в контрольно-счетных органах муниципальных районов составило 1 ед., максимальное – 18 ед., городских округов – 1 ед. и 41 ед., городских поселений – 0,5 ед. и 11 ед., сельских поселений – 0,2 ед. и 2 ед. соответственно. </w:t>
      </w:r>
    </w:p>
    <w:p w:rsidR="0014169E" w:rsidRPr="007A2832" w:rsidRDefault="0014169E" w:rsidP="00CB37E6">
      <w:pPr>
        <w:shd w:val="clear" w:color="auto" w:fill="FFFFFF"/>
        <w:ind w:firstLine="708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При этом только в 6 % контрольно-счетных органов муниципальных районов фактическая численность находится в диапазоне от 5 ед. до 18 ед., в 20 % – от 3 ед. до 4 ед., в остальных 74 % – менее 3 ед. </w:t>
      </w:r>
    </w:p>
    <w:p w:rsidR="0014169E" w:rsidRPr="007A2832" w:rsidRDefault="0014169E" w:rsidP="00CB37E6">
      <w:pPr>
        <w:shd w:val="clear" w:color="auto" w:fill="FFFFFF"/>
        <w:ind w:firstLine="708"/>
        <w:jc w:val="both"/>
        <w:rPr>
          <w:sz w:val="28"/>
          <w:szCs w:val="28"/>
        </w:rPr>
      </w:pPr>
      <w:r w:rsidRPr="007A2832">
        <w:rPr>
          <w:sz w:val="28"/>
          <w:szCs w:val="28"/>
        </w:rPr>
        <w:lastRenderedPageBreak/>
        <w:t xml:space="preserve">В 12 % контрольно-счетных органов городских округов фактическая численность находится в диапазоне от 10 ед. до 41 ед., в 14 % – от 5 ед. до 9 ед., в остальных 74 % – менее 4 ед. </w:t>
      </w:r>
    </w:p>
    <w:p w:rsidR="0014169E" w:rsidRPr="00F8788D" w:rsidRDefault="0014169E" w:rsidP="00CB37E6">
      <w:pPr>
        <w:shd w:val="clear" w:color="auto" w:fill="FFFFFF"/>
        <w:ind w:firstLine="708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Фактическая численность работников контрольно</w:t>
      </w:r>
      <w:r>
        <w:rPr>
          <w:sz w:val="28"/>
          <w:szCs w:val="28"/>
        </w:rPr>
        <w:t>-счетных органов муниципальных образований</w:t>
      </w:r>
      <w:r w:rsidRPr="00F8788D">
        <w:rPr>
          <w:sz w:val="28"/>
          <w:szCs w:val="28"/>
        </w:rPr>
        <w:t xml:space="preserve"> не позволяет достичь высокой результативности контрольной деятельности на местном уровне, а в ряде случаев практически делает невозможной реализацию обязательного объема полномочий, установленного законодательством РФ.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Как показал проведенный анализ, наибольшее количество должностей </w:t>
      </w:r>
      <w:r>
        <w:rPr>
          <w:sz w:val="28"/>
          <w:szCs w:val="28"/>
        </w:rPr>
        <w:t>муниципальных контрольно-счетных органов</w:t>
      </w:r>
      <w:r w:rsidRPr="00F8788D">
        <w:rPr>
          <w:sz w:val="28"/>
          <w:szCs w:val="28"/>
        </w:rPr>
        <w:t xml:space="preserve"> отнесено к должностям муниципальной службы, осуществляемой в соответствии с Федеральным законом от 02.03.2007 №25-ФЗ - в среднем 72% от штата; замещение муниципальных должностей в среднем от штатной численности </w:t>
      </w:r>
      <w:r>
        <w:rPr>
          <w:sz w:val="28"/>
          <w:szCs w:val="28"/>
        </w:rPr>
        <w:t>контрольно-счетных органов</w:t>
      </w:r>
      <w:r w:rsidRPr="00F8788D">
        <w:rPr>
          <w:sz w:val="28"/>
          <w:szCs w:val="28"/>
        </w:rPr>
        <w:t xml:space="preserve"> составило 15%; замещение должностей, не отнесенных к муниципальным должностям и должностям муниципальной службы - в среднем 13 % от штата.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По состоянию на 01.01.2017 и 01.07.2017 все должностные лица </w:t>
      </w:r>
      <w:r>
        <w:rPr>
          <w:sz w:val="28"/>
          <w:szCs w:val="28"/>
        </w:rPr>
        <w:t>муниципальных контрольно-счетных органов</w:t>
      </w:r>
      <w:r w:rsidRPr="00F8788D">
        <w:rPr>
          <w:sz w:val="28"/>
          <w:szCs w:val="28"/>
        </w:rPr>
        <w:t xml:space="preserve"> имеют профессиональное образование.</w:t>
      </w:r>
      <w:r>
        <w:rPr>
          <w:sz w:val="28"/>
          <w:szCs w:val="28"/>
        </w:rPr>
        <w:t xml:space="preserve"> Н</w:t>
      </w:r>
      <w:r w:rsidRPr="00F8788D">
        <w:rPr>
          <w:sz w:val="28"/>
          <w:szCs w:val="28"/>
        </w:rPr>
        <w:t>аи</w:t>
      </w:r>
      <w:r>
        <w:rPr>
          <w:sz w:val="28"/>
          <w:szCs w:val="28"/>
        </w:rPr>
        <w:t xml:space="preserve">большее количество сотрудников </w:t>
      </w:r>
      <w:r w:rsidRPr="00F8788D">
        <w:rPr>
          <w:sz w:val="28"/>
          <w:szCs w:val="28"/>
        </w:rPr>
        <w:t>имеет финансово-экономическое образование – 88 % должностных лиц.</w:t>
      </w:r>
    </w:p>
    <w:p w:rsidR="0014169E" w:rsidRPr="00F8788D" w:rsidRDefault="0014169E" w:rsidP="00CB37E6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F8788D">
        <w:rPr>
          <w:sz w:val="28"/>
          <w:szCs w:val="28"/>
        </w:rPr>
        <w:t xml:space="preserve">В </w:t>
      </w:r>
      <w:r w:rsidRPr="00F8788D">
        <w:rPr>
          <w:bCs/>
          <w:iCs/>
          <w:sz w:val="28"/>
          <w:szCs w:val="28"/>
        </w:rPr>
        <w:t xml:space="preserve">условиях ограниченности средств местных бюджетов МКСО субъектов РФ не имеют возможности обеспечить повышение квалификации 100% своих сотрудников. Так, </w:t>
      </w:r>
      <w:r w:rsidRPr="00F8788D">
        <w:rPr>
          <w:color w:val="000000"/>
          <w:sz w:val="28"/>
          <w:szCs w:val="28"/>
        </w:rPr>
        <w:t xml:space="preserve">за последние 3 года обучение по программам повышения квалификации </w:t>
      </w:r>
      <w:r w:rsidRPr="00F8788D">
        <w:rPr>
          <w:sz w:val="28"/>
          <w:szCs w:val="28"/>
        </w:rPr>
        <w:t xml:space="preserve">в среднем по Российской Федерации прошли </w:t>
      </w:r>
      <w:r w:rsidRPr="00F8788D">
        <w:rPr>
          <w:color w:val="000000"/>
          <w:sz w:val="28"/>
          <w:szCs w:val="28"/>
        </w:rPr>
        <w:t>6</w:t>
      </w:r>
      <w:r w:rsidRPr="00F8788D">
        <w:rPr>
          <w:sz w:val="28"/>
          <w:szCs w:val="28"/>
        </w:rPr>
        <w:t xml:space="preserve">5 % </w:t>
      </w:r>
      <w:r w:rsidRPr="00F8788D">
        <w:rPr>
          <w:color w:val="000000"/>
          <w:sz w:val="28"/>
          <w:szCs w:val="28"/>
        </w:rPr>
        <w:t xml:space="preserve">сотрудников МКСО. </w:t>
      </w:r>
    </w:p>
    <w:p w:rsidR="0014169E" w:rsidRPr="00F8788D" w:rsidRDefault="0014169E" w:rsidP="00CB37E6">
      <w:pPr>
        <w:ind w:firstLine="708"/>
        <w:contextualSpacing/>
        <w:jc w:val="both"/>
        <w:rPr>
          <w:sz w:val="28"/>
          <w:szCs w:val="28"/>
        </w:rPr>
      </w:pPr>
      <w:r w:rsidRPr="00F8788D">
        <w:rPr>
          <w:sz w:val="28"/>
          <w:szCs w:val="28"/>
        </w:rPr>
        <w:t>С учетом изложенного, в  условиях проведения бюджетной оптимизации, наличия кадрового дефицита на уровне городских и сельских поселений, а также небольшого объема бюджетов этих муниципальных образований представляется необходимым активизировать работу о передаче полномочий городскими и сельскими поселениями на уровень муниципального района.</w:t>
      </w:r>
    </w:p>
    <w:p w:rsidR="0014169E" w:rsidRPr="00F8788D" w:rsidRDefault="0014169E" w:rsidP="00CB37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В то же время, в условиях ограниченности финансовых ресурсов и при отсутствии профессионально подготовленных специалистов на муниципальном уровне, крайне актуальной становится задача по обеспечению действенного внешнего финансового контроля и на уровне муниципальных районов. </w:t>
      </w:r>
    </w:p>
    <w:p w:rsidR="0014169E" w:rsidRPr="00F8788D" w:rsidRDefault="0014169E" w:rsidP="00CB37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Такой контроль, может быть обеспечен путем делегирования (добровольной передачи) полномочий МКСО органам внешнего финансового контроля субъекта РФ. Решение о передаче полномочий может быть оформлено соглашением, заключаемым представительным органом муниципального образования и контрольно-счетным органом субъекта РФ в порядке, определенном законом субъекта РФ. В связи с чем, представляется целесообразным рассмотрение вопроса о внесении соответствующих изменений в Федеральный закон от 07.02.2011 №6-ФЗ. </w:t>
      </w:r>
    </w:p>
    <w:p w:rsidR="002B1653" w:rsidRDefault="002B1653" w:rsidP="000B2E5F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</w:p>
    <w:p w:rsidR="00D96540" w:rsidRDefault="00D96540" w:rsidP="000B2E5F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</w:p>
    <w:p w:rsidR="0014169E" w:rsidRPr="0095589C" w:rsidRDefault="0014169E" w:rsidP="000B2E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407">
        <w:rPr>
          <w:sz w:val="28"/>
          <w:szCs w:val="28"/>
          <w:u w:val="single"/>
        </w:rPr>
        <w:lastRenderedPageBreak/>
        <w:t>Сбор</w:t>
      </w:r>
      <w:r w:rsidRPr="0095589C">
        <w:rPr>
          <w:sz w:val="28"/>
          <w:szCs w:val="28"/>
          <w:u w:val="single"/>
        </w:rPr>
        <w:t xml:space="preserve"> и обобщение информации о деятельности контрольно-счетных органов муниципальных районов и городских округов в субъектах Российской Федерации за 2015 – 2016 годы</w:t>
      </w:r>
      <w:r w:rsidRPr="0095589C">
        <w:rPr>
          <w:sz w:val="28"/>
          <w:szCs w:val="28"/>
        </w:rPr>
        <w:t xml:space="preserve"> (</w:t>
      </w:r>
      <w:r w:rsidRPr="001E5010">
        <w:rPr>
          <w:sz w:val="28"/>
          <w:szCs w:val="28"/>
        </w:rPr>
        <w:t>п.2.2.4 протокола №4-СКСО</w:t>
      </w:r>
      <w:r>
        <w:rPr>
          <w:sz w:val="28"/>
          <w:szCs w:val="28"/>
        </w:rPr>
        <w:t>,</w:t>
      </w:r>
      <w:r w:rsidRPr="0095589C">
        <w:rPr>
          <w:sz w:val="28"/>
          <w:szCs w:val="28"/>
        </w:rPr>
        <w:t xml:space="preserve"> п.2.1.3 плана Комиссии)</w:t>
      </w:r>
    </w:p>
    <w:p w:rsidR="0014169E" w:rsidRPr="007A2832" w:rsidRDefault="0014169E" w:rsidP="001E5010">
      <w:pPr>
        <w:ind w:firstLine="709"/>
        <w:jc w:val="both"/>
        <w:rPr>
          <w:sz w:val="28"/>
          <w:szCs w:val="28"/>
        </w:rPr>
      </w:pPr>
      <w:r w:rsidRPr="0095589C">
        <w:rPr>
          <w:sz w:val="28"/>
          <w:szCs w:val="28"/>
        </w:rPr>
        <w:t xml:space="preserve">В рамках мероприятия Комиссией проведен сбор и обобщение </w:t>
      </w:r>
      <w:r>
        <w:rPr>
          <w:sz w:val="28"/>
          <w:szCs w:val="28"/>
        </w:rPr>
        <w:t>данных</w:t>
      </w:r>
      <w:r w:rsidRPr="0095589C">
        <w:rPr>
          <w:sz w:val="28"/>
          <w:szCs w:val="28"/>
        </w:rPr>
        <w:t xml:space="preserve"> о деятельности контрольно-счетны</w:t>
      </w:r>
      <w:r>
        <w:rPr>
          <w:sz w:val="28"/>
          <w:szCs w:val="28"/>
        </w:rPr>
        <w:t xml:space="preserve">х </w:t>
      </w:r>
      <w:r w:rsidRPr="007A2832">
        <w:rPr>
          <w:sz w:val="28"/>
          <w:szCs w:val="28"/>
        </w:rPr>
        <w:t>органов муниципальных образований в субъектах Российской Федерации за 2015 – 2016 годы, а также подготовлена информационно-аналитическая справка о деятельности контрольно-счетных органов муниципальных образований в субъектах Российской Федерации за 2015–2016 годы.</w:t>
      </w:r>
    </w:p>
    <w:p w:rsidR="0014169E" w:rsidRPr="007A2832" w:rsidRDefault="0014169E" w:rsidP="00FD3EC8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7A2832">
        <w:rPr>
          <w:rFonts w:ascii="Times New Roman" w:hAnsi="Times New Roman"/>
          <w:sz w:val="28"/>
          <w:szCs w:val="28"/>
        </w:rPr>
        <w:t xml:space="preserve">При сборе информации и заполнении субъектами Российской Федерации отчетных аналитических форм на Портале СП РФ и КСО РФ Комиссия столкнулась с рядом проблем, связанных с неоднозначным пониманием сотрудниками контрольно-счетных органов сущности заполняемых показателей, некорректным отображением единиц измерения, большим количеством технических ошибок, связанных с отсутствием контрольных соотношений и большим объемом вносимой информации.  Для устранения возникших </w:t>
      </w:r>
      <w:r w:rsidR="00D57DB8" w:rsidRPr="007A2832">
        <w:rPr>
          <w:rFonts w:ascii="Times New Roman" w:hAnsi="Times New Roman"/>
          <w:sz w:val="28"/>
          <w:szCs w:val="28"/>
        </w:rPr>
        <w:t>неточностей</w:t>
      </w:r>
      <w:r w:rsidRPr="007A2832">
        <w:rPr>
          <w:rFonts w:ascii="Times New Roman" w:hAnsi="Times New Roman"/>
          <w:sz w:val="28"/>
          <w:szCs w:val="28"/>
        </w:rPr>
        <w:t xml:space="preserve"> при сборе информации, комиссия полагает необходимым  установление контрольных соотношений для проверки корректности внесения данных на этапе заполнения отчетных аналитических форм, а также  утверждение правил их заполнения.</w:t>
      </w:r>
    </w:p>
    <w:p w:rsidR="0014169E" w:rsidRPr="007A2832" w:rsidRDefault="0014169E" w:rsidP="007B3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Для проведения анализа использована информация от 89 % созданных контрольно-счетных органов муниципальных образований. В отношении контрольно-счетных органов муниципальных районов и городских округов уровень предоставления информации составил 95 %, что, на наш взгляд, является достаточным для определения основных тенденций в исследуемой выборочной совокупности.</w:t>
      </w:r>
    </w:p>
    <w:p w:rsidR="0014169E" w:rsidRPr="007A2832" w:rsidRDefault="0014169E" w:rsidP="007B3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Для полноты анализа также рассматривалась информация о деятельности контрольно-счетных органов городских и сельских поселений, однако, удельный вес их данных в основных показателях деятельности контрольно-счетных органов всех муниципальных образований за период 2015 – 2016 годы оставался практически на неизменном уровне 2 %.</w:t>
      </w:r>
    </w:p>
    <w:p w:rsidR="0014169E" w:rsidRPr="007A2832" w:rsidRDefault="0014169E" w:rsidP="007B3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Анализ проводился в разрезе типов контрольно-счетных органов муниципальных образований и в разрезе федеральных округов, основные показатели деятельности рассматривались в расчете на 1 контрольно-счетный орган и 1 сотрудника контрольно-счетного органа.</w:t>
      </w:r>
    </w:p>
    <w:p w:rsidR="0014169E" w:rsidRPr="007A2832" w:rsidRDefault="0014169E" w:rsidP="001E501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За анализируемый период муниципальными контрольно-счетными органами проведено 179 610 контрольных и экспертно-аналитических мероприятий, общая сумма установленных финансовых нарушений составила 466 629,5 млн. рублей, по результатам мероприятий было направлено 33 702 представлений и предписаний, материалы 16 893 контрольных мероприятий были направлены в правоохранительные органы, составлено 1 652 протокола об административных правонарушениях.</w:t>
      </w:r>
    </w:p>
    <w:p w:rsidR="006C74F3" w:rsidRPr="007A2832" w:rsidRDefault="006C74F3" w:rsidP="006C74F3">
      <w:pPr>
        <w:ind w:firstLine="567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Наибольший объем контрольных мероприятий и  экспертных заключений на проекты решений представительных органов о бюджете муниципальных </w:t>
      </w:r>
      <w:r w:rsidRPr="007A2832">
        <w:rPr>
          <w:sz w:val="28"/>
          <w:szCs w:val="28"/>
        </w:rPr>
        <w:lastRenderedPageBreak/>
        <w:t>образований приходится как в 2015, так и в 2016 году на Центральный и Приволжский федеральные округа. При этом наибольший объем финансовых нарушений в указанных периодах установлен по Приволжскому и Южному федеральным округам.</w:t>
      </w:r>
    </w:p>
    <w:p w:rsidR="0014169E" w:rsidRPr="007A2832" w:rsidRDefault="0014169E" w:rsidP="001E501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Положительная динамика (в 2016 году по отношению к 2015 году) сложилась по следующим показателям, характеризующим деятельность муниципальных контрольно-счетных органов:</w:t>
      </w:r>
    </w:p>
    <w:p w:rsidR="0014169E" w:rsidRPr="00C81A33" w:rsidRDefault="0014169E" w:rsidP="001E501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 на 3,3% (с 88 343 до 91</w:t>
      </w:r>
      <w:r w:rsidRPr="00C81A33">
        <w:rPr>
          <w:sz w:val="28"/>
          <w:szCs w:val="28"/>
        </w:rPr>
        <w:t xml:space="preserve"> 267) выросло общее количество проведенных </w:t>
      </w:r>
      <w:r>
        <w:rPr>
          <w:sz w:val="28"/>
          <w:szCs w:val="28"/>
        </w:rPr>
        <w:t>контрольных и экспертно-аналитических мероприятий</w:t>
      </w:r>
      <w:r w:rsidRPr="00C81A33">
        <w:rPr>
          <w:sz w:val="28"/>
          <w:szCs w:val="28"/>
        </w:rPr>
        <w:t>. При этом на 1 514 ед. (или на 34,5%) увеличилось количество проведенных аудитов в сфере закупок; на 431 ед. (или на 8,3%) увеличилось количество проведенных аудитов эффективности;</w:t>
      </w:r>
    </w:p>
    <w:p w:rsidR="0014169E" w:rsidRPr="00C81A33" w:rsidRDefault="0014169E" w:rsidP="001E5010">
      <w:pPr>
        <w:ind w:firstLine="720"/>
        <w:jc w:val="both"/>
        <w:rPr>
          <w:sz w:val="28"/>
          <w:szCs w:val="28"/>
        </w:rPr>
      </w:pPr>
      <w:r w:rsidRPr="00C81A33">
        <w:rPr>
          <w:sz w:val="28"/>
          <w:szCs w:val="28"/>
        </w:rPr>
        <w:t>- на 10,6% (с 42 598 до 47 133) возросло количество подготовленных экспертных заключений по результатам финансово-экономической экспертизы муниципальных правовых актов и иных документов. При этом на 3 123 ед. (или на 16,7%) увеличилось количество экспертных заключений, подготовленных по результатам экспертизы муниципальных программ;</w:t>
      </w:r>
    </w:p>
    <w:p w:rsidR="0014169E" w:rsidRPr="00C81A33" w:rsidRDefault="0014169E" w:rsidP="001E5010">
      <w:pPr>
        <w:ind w:firstLine="720"/>
        <w:jc w:val="both"/>
        <w:rPr>
          <w:sz w:val="28"/>
          <w:szCs w:val="28"/>
        </w:rPr>
      </w:pPr>
      <w:r w:rsidRPr="00C81A33">
        <w:rPr>
          <w:sz w:val="28"/>
          <w:szCs w:val="28"/>
        </w:rPr>
        <w:t xml:space="preserve">- на 5,9% (с 16 370 до 17 332) отмечен рост количества представлений и предписаний, направленных по результатам </w:t>
      </w:r>
      <w:r>
        <w:rPr>
          <w:sz w:val="28"/>
          <w:szCs w:val="28"/>
        </w:rPr>
        <w:t>контрольных и экспертно-аналитических мероприятий</w:t>
      </w:r>
      <w:r w:rsidRPr="00C81A33">
        <w:rPr>
          <w:sz w:val="28"/>
          <w:szCs w:val="28"/>
        </w:rPr>
        <w:t xml:space="preserve"> при незначительном снижении доли предписаний (с 13% до 12,2%) в общем количестве представлений и предписаний;</w:t>
      </w:r>
    </w:p>
    <w:p w:rsidR="0014169E" w:rsidRPr="00C81A33" w:rsidRDefault="0014169E" w:rsidP="001E5010">
      <w:pPr>
        <w:ind w:firstLine="720"/>
        <w:jc w:val="both"/>
        <w:rPr>
          <w:sz w:val="28"/>
          <w:szCs w:val="28"/>
        </w:rPr>
      </w:pPr>
      <w:r w:rsidRPr="00C81A33">
        <w:rPr>
          <w:sz w:val="28"/>
          <w:szCs w:val="28"/>
        </w:rPr>
        <w:t xml:space="preserve">- на 9,8% (с 8 053 до 8 840) возросло количество материалов, направленных в правоохранительные органы. </w:t>
      </w:r>
    </w:p>
    <w:p w:rsidR="0014169E" w:rsidRPr="00C81A33" w:rsidRDefault="0014169E" w:rsidP="001E5010">
      <w:pPr>
        <w:ind w:firstLine="720"/>
        <w:jc w:val="both"/>
        <w:rPr>
          <w:sz w:val="28"/>
          <w:szCs w:val="28"/>
        </w:rPr>
      </w:pPr>
      <w:r w:rsidRPr="00C81A33">
        <w:rPr>
          <w:sz w:val="28"/>
          <w:szCs w:val="28"/>
        </w:rPr>
        <w:t>- в 3,2 раза (с 390 до 1 262) увеличилось количество составленных протоколов об административных правонарушениях;</w:t>
      </w:r>
    </w:p>
    <w:p w:rsidR="0014169E" w:rsidRPr="00C81A33" w:rsidRDefault="0014169E" w:rsidP="001E5010">
      <w:pPr>
        <w:ind w:firstLine="720"/>
        <w:jc w:val="both"/>
        <w:rPr>
          <w:sz w:val="28"/>
          <w:szCs w:val="28"/>
        </w:rPr>
      </w:pPr>
      <w:r w:rsidRPr="00C81A33">
        <w:rPr>
          <w:sz w:val="28"/>
          <w:szCs w:val="28"/>
        </w:rPr>
        <w:t>- на 18,8% (с 9 744 до 11 577</w:t>
      </w:r>
      <w:r>
        <w:rPr>
          <w:sz w:val="28"/>
          <w:szCs w:val="28"/>
        </w:rPr>
        <w:t>) возросло количество принятых С</w:t>
      </w:r>
      <w:r w:rsidRPr="00C81A33">
        <w:rPr>
          <w:sz w:val="28"/>
          <w:szCs w:val="28"/>
        </w:rPr>
        <w:t xml:space="preserve">тандартов </w:t>
      </w:r>
      <w:r>
        <w:rPr>
          <w:sz w:val="28"/>
          <w:szCs w:val="28"/>
        </w:rPr>
        <w:t>МФК</w:t>
      </w:r>
      <w:r w:rsidRPr="00C81A33">
        <w:rPr>
          <w:sz w:val="28"/>
          <w:szCs w:val="28"/>
        </w:rPr>
        <w:t>. При этом с 5 ед. до 6 ед. увеличилась средняя обеспеченность</w:t>
      </w:r>
      <w:r>
        <w:rPr>
          <w:sz w:val="28"/>
          <w:szCs w:val="28"/>
        </w:rPr>
        <w:t xml:space="preserve"> муниципальных контрольно-счетных органов</w:t>
      </w:r>
      <w:r w:rsidRPr="00C81A33">
        <w:rPr>
          <w:sz w:val="28"/>
          <w:szCs w:val="28"/>
        </w:rPr>
        <w:t xml:space="preserve"> Стандартами МФК.</w:t>
      </w:r>
    </w:p>
    <w:p w:rsidR="0014169E" w:rsidRPr="00C81A33" w:rsidRDefault="0014169E" w:rsidP="001E50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81A33">
        <w:rPr>
          <w:sz w:val="28"/>
          <w:szCs w:val="28"/>
        </w:rPr>
        <w:t xml:space="preserve">трицательная динамика </w:t>
      </w:r>
      <w:r>
        <w:rPr>
          <w:sz w:val="28"/>
          <w:szCs w:val="28"/>
        </w:rPr>
        <w:t>сложилась по следующим показателям, характеризующим</w:t>
      </w:r>
      <w:r w:rsidRPr="00C81A33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муниципальных контрольно-счетных органов</w:t>
      </w:r>
      <w:r w:rsidRPr="00C81A33">
        <w:rPr>
          <w:sz w:val="28"/>
          <w:szCs w:val="28"/>
        </w:rPr>
        <w:t>:</w:t>
      </w:r>
    </w:p>
    <w:p w:rsidR="0014169E" w:rsidRPr="00C81A33" w:rsidRDefault="0014169E" w:rsidP="001E5010">
      <w:pPr>
        <w:ind w:firstLine="720"/>
        <w:jc w:val="both"/>
        <w:rPr>
          <w:sz w:val="28"/>
          <w:szCs w:val="28"/>
        </w:rPr>
      </w:pPr>
      <w:r w:rsidRPr="00C81A33">
        <w:rPr>
          <w:sz w:val="28"/>
          <w:szCs w:val="28"/>
        </w:rPr>
        <w:t xml:space="preserve">- на 1,6 процентных пункта (с 84,3% до 82,7%) сократилась доля исполненных представлений, направленных по результатам </w:t>
      </w:r>
      <w:r>
        <w:rPr>
          <w:sz w:val="28"/>
          <w:szCs w:val="28"/>
        </w:rPr>
        <w:t>контрольных и экспертно-аналитических мероприятий</w:t>
      </w:r>
      <w:r w:rsidRPr="00C81A33">
        <w:rPr>
          <w:sz w:val="28"/>
          <w:szCs w:val="28"/>
        </w:rPr>
        <w:t>, в общем объеме направленных представлений. Аналогичным образом, на 0,8 процентных пункта (с 83,3% до 82,5%) сократилась доля исполненных предписаний;</w:t>
      </w:r>
    </w:p>
    <w:p w:rsidR="0014169E" w:rsidRPr="007A2832" w:rsidRDefault="0014169E" w:rsidP="001E5010">
      <w:pPr>
        <w:ind w:firstLine="720"/>
        <w:jc w:val="both"/>
        <w:rPr>
          <w:sz w:val="28"/>
          <w:szCs w:val="28"/>
        </w:rPr>
      </w:pPr>
      <w:r w:rsidRPr="00C81A33">
        <w:rPr>
          <w:sz w:val="28"/>
          <w:szCs w:val="28"/>
        </w:rPr>
        <w:t xml:space="preserve">- рост в 2 раза (с 51 в 2015 году до 100 в 2016 году) количества жалоб и исков, поданных в суды на действия </w:t>
      </w:r>
      <w:r>
        <w:rPr>
          <w:sz w:val="28"/>
          <w:szCs w:val="28"/>
        </w:rPr>
        <w:t xml:space="preserve">муниципальных контрольно-счетных </w:t>
      </w:r>
      <w:r w:rsidRPr="007A2832">
        <w:rPr>
          <w:sz w:val="28"/>
          <w:szCs w:val="28"/>
        </w:rPr>
        <w:t>органов.</w:t>
      </w:r>
    </w:p>
    <w:p w:rsidR="0014169E" w:rsidRPr="007A2832" w:rsidRDefault="0014169E" w:rsidP="001E501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Принимая во внимание имеющуюся общую информацию о контрольно-счетных органах муниципальных образований, далее следует перейти к анализу итогов контрольной и экспертно-аналитической деятельности контрольно-счетных органов муниципальных районов и городских округов. </w:t>
      </w:r>
    </w:p>
    <w:p w:rsidR="0014169E" w:rsidRDefault="0014169E" w:rsidP="001E5010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По результатам данного анализа</w:t>
      </w:r>
      <w:r w:rsidRPr="007A2832">
        <w:rPr>
          <w:sz w:val="28"/>
          <w:szCs w:val="28"/>
          <w:u w:val="single"/>
        </w:rPr>
        <w:t xml:space="preserve"> подготовлена аналитическая записка об эффективности деятельности контрольно-счетных органов муниципальных районов и городских округов по</w:t>
      </w:r>
      <w:r w:rsidRPr="00F8788D">
        <w:rPr>
          <w:sz w:val="28"/>
          <w:szCs w:val="28"/>
          <w:u w:val="single"/>
        </w:rPr>
        <w:t xml:space="preserve"> результатам анализа контрольной и экспертно-</w:t>
      </w:r>
      <w:r w:rsidRPr="00F8788D">
        <w:rPr>
          <w:sz w:val="28"/>
          <w:szCs w:val="28"/>
          <w:u w:val="single"/>
        </w:rPr>
        <w:lastRenderedPageBreak/>
        <w:t>аналитической деятельности за 2015 – 2016 годы</w:t>
      </w:r>
      <w:r w:rsidRPr="00F8788D">
        <w:rPr>
          <w:sz w:val="28"/>
          <w:szCs w:val="28"/>
        </w:rPr>
        <w:t xml:space="preserve"> (п. 4.4.3 плана Совета, п.2.2.1 плана Комиссии)</w:t>
      </w:r>
      <w:r>
        <w:rPr>
          <w:sz w:val="28"/>
          <w:szCs w:val="28"/>
        </w:rPr>
        <w:t>.</w:t>
      </w:r>
    </w:p>
    <w:p w:rsidR="0014169E" w:rsidRPr="00CB37E6" w:rsidRDefault="0014169E" w:rsidP="008A0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69F">
        <w:rPr>
          <w:sz w:val="28"/>
          <w:szCs w:val="28"/>
        </w:rPr>
        <w:t>В целях подготовки аналитической записки использовались данные сводных таблиц, сформированных с помощью сервиса «Система сбора и анализа информации Портала СП РФ и КСО РФ», а также подготовленных комиссией аналитических материалов (анализ информации о создании МКСО и их объединениях в субъектах РФ по состоянию на 01.01.2016 и 01.01.2017, мониторинг и анализ штатной и фактической численности МКСО по состоянию на 01.01.2016 и 01.01.2017, анализ информации о деятельности МКСО в субъектах РФ за 2015 – 2016 годы).</w:t>
      </w:r>
    </w:p>
    <w:p w:rsidR="0014169E" w:rsidRPr="00B443A1" w:rsidRDefault="0014169E" w:rsidP="00AE16FF">
      <w:pPr>
        <w:jc w:val="center"/>
        <w:rPr>
          <w:sz w:val="28"/>
          <w:szCs w:val="28"/>
        </w:rPr>
      </w:pPr>
      <w:r w:rsidRPr="00B443A1">
        <w:rPr>
          <w:i/>
          <w:sz w:val="28"/>
          <w:szCs w:val="28"/>
        </w:rPr>
        <w:t xml:space="preserve">Общие результаты деятельности </w:t>
      </w:r>
      <w:r>
        <w:rPr>
          <w:i/>
          <w:sz w:val="28"/>
          <w:szCs w:val="28"/>
        </w:rPr>
        <w:t>контрольно-счетных органов</w:t>
      </w:r>
      <w:r w:rsidRPr="00B443A1">
        <w:rPr>
          <w:i/>
          <w:sz w:val="28"/>
          <w:szCs w:val="28"/>
        </w:rPr>
        <w:t xml:space="preserve"> муниципальных районов и городских округов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88D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контрольно-счетными органами</w:t>
      </w:r>
      <w:r w:rsidRPr="00F8788D">
        <w:rPr>
          <w:sz w:val="28"/>
          <w:szCs w:val="28"/>
        </w:rPr>
        <w:t xml:space="preserve"> муниципальных районов и городских округов в 2016 году было проведено 89911 </w:t>
      </w:r>
      <w:r>
        <w:rPr>
          <w:sz w:val="28"/>
          <w:szCs w:val="28"/>
        </w:rPr>
        <w:t>контрольных и экспертно-аналитических мероприятий</w:t>
      </w:r>
      <w:r w:rsidRPr="00F8788D">
        <w:rPr>
          <w:sz w:val="28"/>
          <w:szCs w:val="28"/>
        </w:rPr>
        <w:t xml:space="preserve"> (+3,6 % по сравнению с 2015 годом), подготовлено 46224 заключения по результатам финансово</w:t>
      </w:r>
      <w:r w:rsidRPr="00E936E5">
        <w:rPr>
          <w:sz w:val="28"/>
          <w:szCs w:val="28"/>
        </w:rPr>
        <w:t>-экономической экспертизы</w:t>
      </w:r>
      <w:r>
        <w:rPr>
          <w:sz w:val="28"/>
          <w:szCs w:val="28"/>
        </w:rPr>
        <w:t xml:space="preserve"> (+11 %</w:t>
      </w:r>
      <w:r w:rsidRPr="00E936E5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2015 годом), выявлено финансовых нарушений на сумму 185000,5 млн. рублей (-25 % по сравнению с 2015 годом), неэффективное использование бюджетных средств на сумму 15403,5 млн. рублей (-2,1 %</w:t>
      </w:r>
      <w:r w:rsidRPr="002A6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2015 годом). 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</w:t>
      </w:r>
      <w:r w:rsidRPr="00101849">
        <w:rPr>
          <w:sz w:val="28"/>
          <w:szCs w:val="28"/>
        </w:rPr>
        <w:t xml:space="preserve">оля общей суммы выявленных нарушений </w:t>
      </w:r>
      <w:r>
        <w:rPr>
          <w:sz w:val="28"/>
          <w:szCs w:val="28"/>
        </w:rPr>
        <w:t xml:space="preserve">контрольно-счетными органами муниципальных районов и городских округов </w:t>
      </w:r>
      <w:r w:rsidRPr="00101849">
        <w:rPr>
          <w:sz w:val="28"/>
          <w:szCs w:val="28"/>
        </w:rPr>
        <w:t>в общей сумме расходов</w:t>
      </w:r>
      <w:r>
        <w:rPr>
          <w:sz w:val="28"/>
          <w:szCs w:val="28"/>
        </w:rPr>
        <w:t xml:space="preserve"> их бюджетов в 2016 году составила 5,8 % (-1,7 п.п. по сравнению с 2015 годом), д</w:t>
      </w:r>
      <w:r w:rsidRPr="00902DC0">
        <w:rPr>
          <w:sz w:val="28"/>
          <w:szCs w:val="28"/>
        </w:rPr>
        <w:t xml:space="preserve">оля установленных неэффективных расходов </w:t>
      </w:r>
      <w:r>
        <w:rPr>
          <w:sz w:val="28"/>
          <w:szCs w:val="28"/>
        </w:rPr>
        <w:t xml:space="preserve">– 0,5 % (сохранилась на уровне 2015 года). 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определяющих факторов резкого снижения в 2016 году суммы выявленных финансовых нарушений является снижение данного показателя по одному контрольно-счетному органу городского округа (порядка 70 % дельты показателей).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проведенных мероприятий направлено 17148 представлений и </w:t>
      </w:r>
      <w:r w:rsidRPr="00285D7B">
        <w:rPr>
          <w:sz w:val="28"/>
          <w:szCs w:val="28"/>
        </w:rPr>
        <w:t xml:space="preserve">предписаний (+6,1 </w:t>
      </w:r>
      <w:r>
        <w:rPr>
          <w:sz w:val="28"/>
          <w:szCs w:val="28"/>
        </w:rPr>
        <w:t>% по сравнению с 2015 годом)</w:t>
      </w:r>
      <w:r w:rsidRPr="00285D7B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исполнено за отчетный период 82,8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% (-1,5 п. п. по сравнению с 2015 годом). 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Направлено 8776 (+10,5 % по сравнению с 2015 годом) материалов в правоохранительные органы, составлено 1256 </w:t>
      </w:r>
      <w:r w:rsidRPr="005700B5">
        <w:rPr>
          <w:sz w:val="28"/>
          <w:szCs w:val="28"/>
        </w:rPr>
        <w:t>протоколов об административных правонарушениях</w:t>
      </w:r>
      <w:r>
        <w:rPr>
          <w:sz w:val="28"/>
          <w:szCs w:val="28"/>
        </w:rPr>
        <w:t xml:space="preserve"> (в 3,3 раза больше, чем в 2015 году)</w:t>
      </w:r>
      <w:r w:rsidRPr="005700B5">
        <w:rPr>
          <w:sz w:val="28"/>
          <w:szCs w:val="28"/>
        </w:rPr>
        <w:t>,</w:t>
      </w:r>
      <w:r>
        <w:rPr>
          <w:sz w:val="28"/>
          <w:szCs w:val="28"/>
        </w:rPr>
        <w:t xml:space="preserve"> на действия контрольно-счетных органов муниципальных районов и городских округов подано 94 иска (в 2 раза больше, чем в 2015 году), из которых по 58 искам приняты решения судов об отказе в удовлетворении (процент отказов от общего количества исков снизился на 3,3 п. п. по сравнению с 2015 годом).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8F"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>контрольно-счетных органов</w:t>
      </w:r>
      <w:r w:rsidRPr="0027508F">
        <w:rPr>
          <w:sz w:val="28"/>
          <w:szCs w:val="28"/>
        </w:rPr>
        <w:t xml:space="preserve"> муниципальных районов и городских округов составило 4873,2 млн. руб</w:t>
      </w:r>
      <w:r>
        <w:rPr>
          <w:sz w:val="28"/>
          <w:szCs w:val="28"/>
        </w:rPr>
        <w:t>лей</w:t>
      </w:r>
      <w:r w:rsidRPr="0027508F">
        <w:rPr>
          <w:sz w:val="28"/>
          <w:szCs w:val="28"/>
        </w:rPr>
        <w:t xml:space="preserve"> (-1,9 % по сравнению с 2015 годом).</w:t>
      </w:r>
    </w:p>
    <w:p w:rsidR="00BC3D12" w:rsidRDefault="00BC3D12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6540" w:rsidRDefault="00D96540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69E" w:rsidRPr="00B443A1" w:rsidRDefault="0014169E" w:rsidP="00AE16FF">
      <w:pPr>
        <w:jc w:val="center"/>
        <w:rPr>
          <w:sz w:val="28"/>
          <w:szCs w:val="28"/>
        </w:rPr>
      </w:pPr>
      <w:r w:rsidRPr="00B443A1">
        <w:rPr>
          <w:i/>
          <w:sz w:val="28"/>
          <w:szCs w:val="28"/>
        </w:rPr>
        <w:lastRenderedPageBreak/>
        <w:t xml:space="preserve">Характеристика деятельности </w:t>
      </w:r>
      <w:r>
        <w:rPr>
          <w:i/>
          <w:sz w:val="28"/>
          <w:szCs w:val="28"/>
        </w:rPr>
        <w:t>контрольно-счетных органов</w:t>
      </w:r>
      <w:r w:rsidRPr="00B443A1">
        <w:rPr>
          <w:i/>
          <w:sz w:val="28"/>
          <w:szCs w:val="28"/>
        </w:rPr>
        <w:t xml:space="preserve"> муниципальных районов и городских округов в расчете на 1 КСО и 1 сотрудника КСО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в среднем по Российской Федерации одним муниципальным контрольно-счетным органом было проведено 46 мероприятий, одним сотрудником – 16 мероприятий, в 2016 году показатели аналогичные.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в среднем </w:t>
      </w:r>
      <w:r w:rsidRPr="00F1461B">
        <w:rPr>
          <w:sz w:val="28"/>
          <w:szCs w:val="28"/>
        </w:rPr>
        <w:t xml:space="preserve">по Российской Федерации </w:t>
      </w:r>
      <w:r>
        <w:rPr>
          <w:sz w:val="28"/>
          <w:szCs w:val="28"/>
        </w:rPr>
        <w:t xml:space="preserve">одним контрольно-счетным органом муниципального района проведено 47 мероприятий, городского округа – 45, в 2016 году – 48 и 46 соответственно. 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2015 году и 2016 году количество проведенных одним сотрудником контрольно-счетного органа муниципального района мероприятий составило 22, тогда как одним сотрудником контрольно-счетного органа городского округа проведено 9 и 10 мероприятий соответственно. Вместе с тем одним сотрудником и контрольно-счетного органа муниципального района, и городского округа в среднем за год проводится по одному аудиту в сфере закупок и аудиту эффективности. 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Обращает на себя внимание тот факт, что имеет место не проведение рядом контрольно-счетных органов муниципальных районов и городских округов аудита в сфере закупок и аудита эффективности. Это может в определенной степени свидетельствовать о невыполнении в полном объеме установленных законодательством полномочий.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сотрудником контрольно-счетного органа муниципального района в среднем за год проводится 10 финансово-экономических экспертиз, городского округа – 7 экспертиз. В структуре проводимых финансово-экономических экспертиз контрольно-счетными органами и муниципальных районов, и городских округов соотношение экспертиз муниципальных правовых актов и муниципальных программ практически неизменно и примерно составляет 50 : 50 (с незначительным перевесом экспертиз МПА).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полномочий контрольно-счетных органов поселений </w:t>
      </w:r>
      <w:r w:rsidRPr="00C838B3">
        <w:rPr>
          <w:sz w:val="28"/>
          <w:szCs w:val="28"/>
        </w:rPr>
        <w:t>по осуществлению внешнего муни</w:t>
      </w:r>
      <w:r>
        <w:rPr>
          <w:sz w:val="28"/>
          <w:szCs w:val="28"/>
        </w:rPr>
        <w:t xml:space="preserve">ципального финансового контроля контрольно-счетным органам </w:t>
      </w:r>
      <w:r w:rsidRPr="00C838B3">
        <w:rPr>
          <w:sz w:val="28"/>
          <w:szCs w:val="28"/>
        </w:rPr>
        <w:t>муниципальных районов</w:t>
      </w:r>
      <w:r>
        <w:rPr>
          <w:sz w:val="28"/>
          <w:szCs w:val="28"/>
        </w:rPr>
        <w:t xml:space="preserve"> оказывает определяющее влияние на соотношение количества заключений на проекты решений о бюджете муниципальных образований, подготовленных контрольно-счетными органами муниципальных районов (84 % от общего количества заключений) и городских округов (16 % от общего количества заключений). </w:t>
      </w:r>
    </w:p>
    <w:p w:rsidR="0014169E" w:rsidRPr="0027508F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8F">
        <w:rPr>
          <w:sz w:val="28"/>
          <w:szCs w:val="28"/>
        </w:rPr>
        <w:t xml:space="preserve">Это в свою очередь приводит к увеличению интенсивности работы сотрудников </w:t>
      </w:r>
      <w:r>
        <w:rPr>
          <w:sz w:val="28"/>
          <w:szCs w:val="28"/>
        </w:rPr>
        <w:t>контрольно-счетных органов</w:t>
      </w:r>
      <w:r w:rsidRPr="0027508F">
        <w:rPr>
          <w:sz w:val="28"/>
          <w:szCs w:val="28"/>
        </w:rPr>
        <w:t xml:space="preserve"> муниципальных районов</w:t>
      </w:r>
      <w:r>
        <w:rPr>
          <w:sz w:val="28"/>
          <w:szCs w:val="28"/>
        </w:rPr>
        <w:t>.</w:t>
      </w:r>
      <w:r w:rsidRPr="0027508F">
        <w:rPr>
          <w:sz w:val="28"/>
          <w:szCs w:val="28"/>
        </w:rPr>
        <w:t xml:space="preserve"> Так, </w:t>
      </w:r>
      <w:r>
        <w:rPr>
          <w:sz w:val="28"/>
          <w:szCs w:val="28"/>
        </w:rPr>
        <w:t>в анализируемых периодах</w:t>
      </w:r>
      <w:r w:rsidRPr="0027508F">
        <w:rPr>
          <w:sz w:val="28"/>
          <w:szCs w:val="28"/>
        </w:rPr>
        <w:t xml:space="preserve"> одним сотрудником </w:t>
      </w:r>
      <w:r>
        <w:rPr>
          <w:sz w:val="28"/>
          <w:szCs w:val="28"/>
        </w:rPr>
        <w:t>контрольно-счетного органа</w:t>
      </w:r>
      <w:r w:rsidRPr="0027508F">
        <w:rPr>
          <w:sz w:val="28"/>
          <w:szCs w:val="28"/>
        </w:rPr>
        <w:t xml:space="preserve"> муниципального района подготавливалось 10 заключений, тогда как городского округа – 2 заключения.</w:t>
      </w:r>
    </w:p>
    <w:p w:rsidR="003A1FED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08F">
        <w:rPr>
          <w:sz w:val="28"/>
          <w:szCs w:val="28"/>
        </w:rPr>
        <w:t>В разрезе федеральных округов информация</w:t>
      </w:r>
      <w:r>
        <w:rPr>
          <w:sz w:val="28"/>
          <w:szCs w:val="28"/>
        </w:rPr>
        <w:t xml:space="preserve"> об общем количестве</w:t>
      </w:r>
      <w:r w:rsidRPr="0097696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и экспертно-аналитических мероприятий в расчете на 1 контрольно-счетный орган и на 1 сотрудника контрольно-</w:t>
      </w:r>
      <w:r w:rsidRPr="007A2832">
        <w:rPr>
          <w:sz w:val="28"/>
          <w:szCs w:val="28"/>
        </w:rPr>
        <w:t>счетного органа в 2015 и 2016 годах представлена на следующих диаграммах (рис.1 и 2).</w:t>
      </w:r>
    </w:p>
    <w:p w:rsidR="0014169E" w:rsidRDefault="00FF6144" w:rsidP="00AE16F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49.75pt">
            <v:imagedata r:id="rId9" o:title=""/>
          </v:shape>
        </w:pict>
      </w:r>
    </w:p>
    <w:p w:rsidR="0014169E" w:rsidRPr="007A2832" w:rsidRDefault="0014169E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 xml:space="preserve">Рис. 1. Общее количество контрольных и экспертно-аналитических мероприятий в расчете на 1 контрольно-счетный орган </w:t>
      </w:r>
    </w:p>
    <w:p w:rsidR="0014169E" w:rsidRDefault="0014169E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>в разрезе федеральных округов в 2015 и 2016 годах</w:t>
      </w:r>
    </w:p>
    <w:p w:rsidR="003A1FED" w:rsidRDefault="003A1FED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9E" w:rsidRDefault="00FF6144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73.25pt;height:263.25pt">
            <v:imagedata r:id="rId10" o:title=""/>
          </v:shape>
        </w:pict>
      </w:r>
    </w:p>
    <w:p w:rsidR="0014169E" w:rsidRPr="007A2832" w:rsidRDefault="0014169E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 xml:space="preserve">Рис. 2. Общее количество контрольных и экспертно-аналитических мероприятий в расчете на 1 сотрудника контрольно-счетного органа </w:t>
      </w:r>
    </w:p>
    <w:p w:rsidR="0014169E" w:rsidRDefault="0014169E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>в разрезе федеральных округов в 2015 и 2016 годах</w:t>
      </w:r>
    </w:p>
    <w:p w:rsidR="0014169E" w:rsidRPr="00BF4468" w:rsidRDefault="0014169E" w:rsidP="00D9654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</w:t>
      </w:r>
      <w:r w:rsidRPr="00C838B3">
        <w:rPr>
          <w:sz w:val="28"/>
          <w:szCs w:val="28"/>
        </w:rPr>
        <w:t xml:space="preserve">67,7 % представительных органов поселений передали </w:t>
      </w:r>
      <w:r>
        <w:rPr>
          <w:sz w:val="28"/>
          <w:szCs w:val="28"/>
        </w:rPr>
        <w:t>контрольно-счетным органам</w:t>
      </w:r>
      <w:r w:rsidRPr="00C838B3">
        <w:rPr>
          <w:sz w:val="28"/>
          <w:szCs w:val="28"/>
        </w:rPr>
        <w:t xml:space="preserve"> муниципальных районов полномочия по осуществлению внешнего муни</w:t>
      </w:r>
      <w:r>
        <w:rPr>
          <w:sz w:val="28"/>
          <w:szCs w:val="28"/>
        </w:rPr>
        <w:t xml:space="preserve">ципального финансового контроля, фактическая численность порядка 75 % контрольно-счетных органов составляет менее 3 ед., финансовое обеспечение деятельности одного </w:t>
      </w:r>
      <w:r>
        <w:rPr>
          <w:sz w:val="28"/>
          <w:szCs w:val="28"/>
        </w:rPr>
        <w:lastRenderedPageBreak/>
        <w:t>контрольно-счетного органа муниципального района практически в 3 раза ниже, чем одного контрольно-счетного органа городского округа. Учитывая высокую интенсивность проводимых мероприятий одним сотрудником контрольно-счетного органа муниципального района, наблюдается снижение результативности контроля контрольно-счетных органов муниципальных районов по сравнению с контрольно-счетными органами городских округов.</w:t>
      </w:r>
      <w:r w:rsidRPr="00BF4468">
        <w:rPr>
          <w:sz w:val="28"/>
          <w:szCs w:val="28"/>
        </w:rPr>
        <w:t xml:space="preserve"> 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2016 году объем выявленных финансовых нарушений в расчете на один контрольно-счетный орган муниципального района составил 57,8 млн. рублей, городского округа – 200,4 млн. рублей, а в расчете на одного сотрудника контрольно-счетного органа муниципального района – 27,0 млн. рублей, городского округа – 42,5 млн. рублей. Кроме этого, в расчете на один контрольно-счетный орган муниципального района выявлено неэффективное использование бюджетных средств на сумму 4,3 млн. рублей, городского округа – 17,9 млн. рублей, а в расчете на одного сотрудника контрольно-счетного органа муниципального района – 2,0 млн. рублей, городского округа – 3,8 млн. рублей.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2015 году в среднем по Российской Федерации одним муниципальным контрольно-счетным органом было выявлено финансовых нарушений на сумму 128,2 млн. рублей, одним сотрудником – 44,3 млн. рублей, в 2016 году одним КСО – 94,0 млн. рублей, одним сотрудником – 33,7 млн. рублей. В отношении неэффективного использования бюджетных средств </w:t>
      </w:r>
      <w:r w:rsidRPr="007A2832">
        <w:rPr>
          <w:sz w:val="28"/>
          <w:szCs w:val="28"/>
        </w:rPr>
        <w:t xml:space="preserve">значения следующие: в 2015 году 8,2 млн. рублей и 2,8 млн. рублей, в 2016 году 7,8 млн. рублей и 2,8 млн. рублей соответственно. 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Доля общей суммы выявленных нарушений контрольно-счетными органами муниципальных районов и городских округов в общей сумме расходов их бюджетов в 2016 году практически идентична: по муниципальным районам - 5,5 %, по  городским округам - 6,0 % .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В разрезе федеральных округов информация о суммах выявленных нарушений в расчете на 1 контрольно-счетный орган и на 1 сотрудника контрольно-счетного органа в 2015 и 2016 годах представлена на диаграммах (рис.3 и 4).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Следует отметить, что для корректности представленного анализа из расчета исключены данные по одному контрольно-счетному органу городского округа, информация по которому оказала резкое влияние на итоговый результат в целом.</w:t>
      </w:r>
    </w:p>
    <w:p w:rsidR="0014169E" w:rsidRDefault="00FF6144" w:rsidP="00BB5830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i1027" type="#_x0000_t75" style="width:483pt;height:236.25pt">
            <v:imagedata r:id="rId11" o:title=""/>
          </v:shape>
        </w:pict>
      </w:r>
    </w:p>
    <w:p w:rsidR="0014169E" w:rsidRDefault="0014169E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>Рис. 3. Сумма выявленных нарушений  в расчете на 1 контрольно-счетный орган в разрезе федеральных округов в 2015 и 2016 годах</w:t>
      </w:r>
    </w:p>
    <w:p w:rsidR="00790986" w:rsidRDefault="00790986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9E" w:rsidRDefault="00FF6144" w:rsidP="00BB58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71pt;height:230.25pt">
            <v:imagedata r:id="rId12" o:title=""/>
          </v:shape>
        </w:pict>
      </w:r>
    </w:p>
    <w:p w:rsidR="0014169E" w:rsidRPr="007A2832" w:rsidRDefault="0014169E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 xml:space="preserve">Рис. 4. Сумма выявленных нарушений  в расчете на 1 сотрудника </w:t>
      </w:r>
    </w:p>
    <w:p w:rsidR="0014169E" w:rsidRPr="007A2832" w:rsidRDefault="0014169E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 xml:space="preserve">контрольно-счетного органа в разрезе федеральных округов </w:t>
      </w:r>
    </w:p>
    <w:p w:rsidR="0014169E" w:rsidRDefault="0014169E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>в 2015 и 2016 годах</w:t>
      </w:r>
    </w:p>
    <w:p w:rsidR="0014169E" w:rsidRDefault="0014169E" w:rsidP="00AE16FF">
      <w:pPr>
        <w:autoSpaceDE w:val="0"/>
        <w:autoSpaceDN w:val="0"/>
        <w:adjustRightInd w:val="0"/>
        <w:jc w:val="center"/>
        <w:rPr>
          <w:noProof/>
        </w:rPr>
      </w:pPr>
    </w:p>
    <w:p w:rsidR="0014169E" w:rsidRPr="00B443A1" w:rsidRDefault="0014169E" w:rsidP="00AE16F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443A1">
        <w:rPr>
          <w:i/>
          <w:sz w:val="28"/>
          <w:szCs w:val="28"/>
        </w:rPr>
        <w:t>Характеристика выявленных финансовых нарушений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выявленных финансовых нарушений муниципальных контрольно-счетных органов в 2015 и 2016 годах характеризуется данными следующей </w:t>
      </w:r>
      <w:r w:rsidRPr="007A2832">
        <w:rPr>
          <w:sz w:val="28"/>
          <w:szCs w:val="28"/>
        </w:rPr>
        <w:t>диаграммы (рис.5).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69E" w:rsidRDefault="00FF6144" w:rsidP="00AE16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 id="Рисунок 2" o:spid="_x0000_i1029" type="#_x0000_t75" style="width:429.75pt;height:261pt;visibility:visible">
            <v:imagedata r:id="rId13" o:title=""/>
          </v:shape>
        </w:pict>
      </w:r>
    </w:p>
    <w:p w:rsidR="0014169E" w:rsidRDefault="0014169E" w:rsidP="00E97B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>Рис.5</w:t>
      </w:r>
    </w:p>
    <w:p w:rsidR="0014169E" w:rsidRDefault="0014169E" w:rsidP="00D9654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рассматриваемых периодах наибольший удельный вес в структуре выявленных финансовых нарушений приходился на нарушения ведения бухгалтерского учета, составления и предоставления бухгалтерской (финансовой) отчетности, далее – нарушениями в сфере управления и распоряжения муниципальной собственностью и нарушениями при формировании и исполнении бюджетов.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отмечено ранее, в 2016 году значительное влияние на изменение структуры выявленных нарушений в целом по контрольно-счетным органам муниципальных образований внесла сумма нарушений, установленная одним контрольно-счетным органом городского округа. Это аналогичным образом сказалось на структуре выявленных нарушений контрольно-счетных органов муниципальных районов и городских округов. Так, если в 2015 году доля выявленных контрольно-счетными органами городских округов нарушений в сфере управления и распоряжения муниципальной собственностью составляла 33,6 %, то в 2016 году показатель снизился и составил 20 %. По остальным видам нарушений структура остается неизменной. 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выявленных контрольно-счетными органами муниципальных районов нарушений на протяжении 2015 - 2016 годов практически остается неизменной и соответствует структуре выявленных нарушений в 2016 году в целом по Российской Федерации.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обратить внимание на долю иных нарушений в общей структуре – порядка 16 %, что в определенной степени свидетельствует о наличии трудностей в применении Классификатора </w:t>
      </w:r>
      <w:r w:rsidRPr="007F263D">
        <w:rPr>
          <w:sz w:val="28"/>
          <w:szCs w:val="28"/>
        </w:rPr>
        <w:t>нарушений, выявляемых в ходе внешнего государственного аудита (контроля)</w:t>
      </w:r>
      <w:r>
        <w:rPr>
          <w:sz w:val="28"/>
          <w:szCs w:val="28"/>
        </w:rPr>
        <w:t>.</w:t>
      </w:r>
    </w:p>
    <w:p w:rsidR="009C7706" w:rsidRDefault="009C7706" w:rsidP="00AE16FF">
      <w:pPr>
        <w:jc w:val="center"/>
        <w:rPr>
          <w:i/>
          <w:sz w:val="28"/>
          <w:szCs w:val="28"/>
        </w:rPr>
      </w:pPr>
    </w:p>
    <w:p w:rsidR="009C7706" w:rsidRDefault="009C7706" w:rsidP="00AE16FF">
      <w:pPr>
        <w:jc w:val="center"/>
        <w:rPr>
          <w:i/>
          <w:sz w:val="28"/>
          <w:szCs w:val="28"/>
        </w:rPr>
      </w:pPr>
    </w:p>
    <w:p w:rsidR="0014169E" w:rsidRDefault="0014169E" w:rsidP="00AE16FF">
      <w:pPr>
        <w:jc w:val="center"/>
        <w:rPr>
          <w:i/>
          <w:sz w:val="28"/>
          <w:szCs w:val="28"/>
        </w:rPr>
      </w:pPr>
      <w:r w:rsidRPr="00B443A1">
        <w:rPr>
          <w:i/>
          <w:sz w:val="28"/>
          <w:szCs w:val="28"/>
        </w:rPr>
        <w:lastRenderedPageBreak/>
        <w:t xml:space="preserve">Деятельность </w:t>
      </w:r>
      <w:r>
        <w:rPr>
          <w:i/>
          <w:sz w:val="28"/>
          <w:szCs w:val="28"/>
        </w:rPr>
        <w:t>контрольно-счетных органов</w:t>
      </w:r>
      <w:r w:rsidRPr="00B443A1">
        <w:rPr>
          <w:i/>
          <w:sz w:val="28"/>
          <w:szCs w:val="28"/>
        </w:rPr>
        <w:t xml:space="preserve"> по реализации</w:t>
      </w:r>
    </w:p>
    <w:p w:rsidR="0014169E" w:rsidRPr="00B443A1" w:rsidRDefault="0014169E" w:rsidP="00AE16FF">
      <w:pPr>
        <w:jc w:val="center"/>
        <w:rPr>
          <w:sz w:val="28"/>
          <w:szCs w:val="28"/>
        </w:rPr>
      </w:pPr>
      <w:r w:rsidRPr="00B443A1">
        <w:rPr>
          <w:i/>
          <w:sz w:val="28"/>
          <w:szCs w:val="28"/>
        </w:rPr>
        <w:t xml:space="preserve"> результатов </w:t>
      </w:r>
      <w:r>
        <w:rPr>
          <w:i/>
          <w:sz w:val="28"/>
          <w:szCs w:val="28"/>
        </w:rPr>
        <w:t>контрольных</w:t>
      </w:r>
      <w:r w:rsidRPr="00B443A1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экспертно-аналитических мероприятий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315EB">
        <w:rPr>
          <w:sz w:val="28"/>
          <w:szCs w:val="28"/>
        </w:rPr>
        <w:t xml:space="preserve">ейственным </w:t>
      </w:r>
      <w:r>
        <w:rPr>
          <w:sz w:val="28"/>
          <w:szCs w:val="28"/>
        </w:rPr>
        <w:t>механизмом</w:t>
      </w:r>
      <w:r w:rsidRPr="001315EB">
        <w:rPr>
          <w:sz w:val="28"/>
          <w:szCs w:val="28"/>
        </w:rPr>
        <w:t xml:space="preserve"> повышения эффективности </w:t>
      </w:r>
      <w:r>
        <w:rPr>
          <w:sz w:val="28"/>
          <w:szCs w:val="28"/>
        </w:rPr>
        <w:t>деятельности контрольно-счетных органов является работа по реализации результатов контрольных и экспертно-аналитических мероприятий, принятие мер воздействия, привлечение к ответственности по принадлежности.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и 2016 годах соотношение направленных контрольно-счетными органами муниципальных районов и городских округов представлений и предписаний остается практически неизменным (67 : 31), аналогичная ситуация и по соотношению исполненных представлений и предписаний (70 : 29).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типов контрольно-счетных органов наблюдается увеличение количества материалов по итогам контрольных мероприятий, направленных в правоохранительные органы, и количества составленных протоколов об административных правонарушениях.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материалов, направленных контрольно-счетными органами муниципальных районов в правоохранительные органы в 2016 году, увеличилось на 11,9 % по сравнению с 2015 годом, городских округов – на 8,1%.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составленных контрольно-счетными органами муниципальных районов протоколов об административных правонарушениях в 2016 году увеличилось в 3,6 раза по сравнению с 2015 годом, городских округов – в 2,9 раза.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показателем, характеризующим качество контрольной деятельности, является количество </w:t>
      </w:r>
      <w:r w:rsidRPr="00B5766A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B5766A">
        <w:rPr>
          <w:sz w:val="28"/>
          <w:szCs w:val="28"/>
        </w:rPr>
        <w:t xml:space="preserve"> судов об отказе в удовлетворении жалоб</w:t>
      </w:r>
      <w:r>
        <w:rPr>
          <w:sz w:val="28"/>
          <w:szCs w:val="28"/>
        </w:rPr>
        <w:t>, исков на действия контрольно-счетных органов.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наблюдается увеличение в 2,7 раза количества исков на действия контрольно-счетных органов муниципальных районов, в 1,6 раза – на действия контрольно-счетных органов городских округов.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несмотря на значительное увеличение исков на действия контрольно-счетных органов муниципальных районов, в 73 % случаев были приняты решения об отказе </w:t>
      </w:r>
      <w:r w:rsidRPr="00B5766A">
        <w:rPr>
          <w:sz w:val="28"/>
          <w:szCs w:val="28"/>
        </w:rPr>
        <w:t>в удовлетворении жалоб</w:t>
      </w:r>
      <w:r>
        <w:rPr>
          <w:sz w:val="28"/>
          <w:szCs w:val="28"/>
        </w:rPr>
        <w:t>, исков. В отношении контрольно-счетных органов городских округов наблюдается противоположная</w:t>
      </w:r>
      <w:r w:rsidRPr="0022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тенденция: если в 2015 году в 74 % случаев принимались решения об отказе в удовлетворении </w:t>
      </w:r>
      <w:r w:rsidRPr="00B5766A">
        <w:rPr>
          <w:sz w:val="28"/>
          <w:szCs w:val="28"/>
        </w:rPr>
        <w:t>жалоб</w:t>
      </w:r>
      <w:r>
        <w:rPr>
          <w:sz w:val="28"/>
          <w:szCs w:val="28"/>
        </w:rPr>
        <w:t>, исков, то в 2016 году – только в 48,8 %.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512">
        <w:rPr>
          <w:sz w:val="28"/>
          <w:szCs w:val="28"/>
        </w:rPr>
        <w:t>Необходи</w:t>
      </w:r>
      <w:r>
        <w:rPr>
          <w:sz w:val="28"/>
          <w:szCs w:val="28"/>
        </w:rPr>
        <w:t xml:space="preserve">мым условием эффективной работы контрольно-счетных органов </w:t>
      </w:r>
      <w:r w:rsidRPr="00F75512">
        <w:rPr>
          <w:sz w:val="28"/>
          <w:szCs w:val="28"/>
        </w:rPr>
        <w:t xml:space="preserve">является </w:t>
      </w:r>
      <w:r w:rsidRPr="00787306">
        <w:rPr>
          <w:sz w:val="28"/>
          <w:szCs w:val="28"/>
        </w:rPr>
        <w:t xml:space="preserve">повышение профессионального уровня специалистов. </w:t>
      </w:r>
    </w:p>
    <w:p w:rsidR="0014169E" w:rsidRPr="0027508F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Российской Федерации 65 % сотрудников контрольно-счетных органов муниципальных образований</w:t>
      </w:r>
      <w:r w:rsidRPr="0027508F">
        <w:rPr>
          <w:sz w:val="28"/>
          <w:szCs w:val="28"/>
        </w:rPr>
        <w:t xml:space="preserve"> прошли обучение по программам повышения квалификации, 55</w:t>
      </w:r>
      <w:r>
        <w:rPr>
          <w:sz w:val="28"/>
          <w:szCs w:val="28"/>
        </w:rPr>
        <w:t xml:space="preserve"> </w:t>
      </w:r>
      <w:r w:rsidRPr="0027508F">
        <w:rPr>
          <w:sz w:val="28"/>
          <w:szCs w:val="28"/>
        </w:rPr>
        <w:t xml:space="preserve">% сотрудников </w:t>
      </w:r>
      <w:r>
        <w:rPr>
          <w:sz w:val="28"/>
          <w:szCs w:val="28"/>
        </w:rPr>
        <w:t xml:space="preserve">контрольно-счетных органов </w:t>
      </w:r>
      <w:r w:rsidRPr="0027508F">
        <w:rPr>
          <w:sz w:val="28"/>
          <w:szCs w:val="28"/>
        </w:rPr>
        <w:t>муниципальных районов и 78</w:t>
      </w:r>
      <w:r>
        <w:rPr>
          <w:sz w:val="28"/>
          <w:szCs w:val="28"/>
        </w:rPr>
        <w:t xml:space="preserve"> </w:t>
      </w:r>
      <w:r w:rsidRPr="0027508F">
        <w:rPr>
          <w:sz w:val="28"/>
          <w:szCs w:val="28"/>
        </w:rPr>
        <w:t xml:space="preserve">% сотрудников </w:t>
      </w:r>
      <w:r>
        <w:rPr>
          <w:sz w:val="28"/>
          <w:szCs w:val="28"/>
        </w:rPr>
        <w:t>контрольно-счетных органов</w:t>
      </w:r>
      <w:r w:rsidRPr="0027508F">
        <w:rPr>
          <w:sz w:val="28"/>
          <w:szCs w:val="28"/>
        </w:rPr>
        <w:t xml:space="preserve"> городских округов.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содержания статьи 11 Федерального</w:t>
      </w:r>
      <w:r w:rsidRPr="00C269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2696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7 февраля 2011 года </w:t>
      </w:r>
      <w:r w:rsidRPr="00C26960">
        <w:rPr>
          <w:sz w:val="28"/>
          <w:szCs w:val="28"/>
        </w:rPr>
        <w:t>№ 6-ФЗ «Об общих принципах организации и деятельности контрольно-сч</w:t>
      </w:r>
      <w:r>
        <w:rPr>
          <w:sz w:val="28"/>
          <w:szCs w:val="28"/>
        </w:rPr>
        <w:t>е</w:t>
      </w:r>
      <w:r w:rsidRPr="00C26960">
        <w:rPr>
          <w:sz w:val="28"/>
          <w:szCs w:val="28"/>
        </w:rPr>
        <w:t>тных органов субъектов Р</w:t>
      </w:r>
      <w:r>
        <w:rPr>
          <w:sz w:val="28"/>
          <w:szCs w:val="28"/>
        </w:rPr>
        <w:t>оссийской Федерации</w:t>
      </w:r>
      <w:r w:rsidRPr="00C26960">
        <w:rPr>
          <w:sz w:val="28"/>
          <w:szCs w:val="28"/>
        </w:rPr>
        <w:t xml:space="preserve"> и муниципальных образований» </w:t>
      </w:r>
      <w:r>
        <w:rPr>
          <w:sz w:val="28"/>
          <w:szCs w:val="28"/>
        </w:rPr>
        <w:t xml:space="preserve">контрольно-счетные органы при осуществлении своей </w:t>
      </w:r>
      <w:r>
        <w:rPr>
          <w:sz w:val="28"/>
          <w:szCs w:val="28"/>
        </w:rPr>
        <w:lastRenderedPageBreak/>
        <w:t xml:space="preserve">деятельности руководствуются стандартами внешнего муниципального финансового контроля. 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01.01.2017 контрольно-счетными органами муниципальных районов утверждено в 2,5 раза больше стандартов, чем контрольно-счетными органами городских округов, однако, обеспеченность стандартами в расчете на один контрольно-счетный орган муниципального района и городского округа одинаковая - 6 стандартов.</w:t>
      </w:r>
    </w:p>
    <w:p w:rsidR="0014169E" w:rsidRPr="0027508F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по Российской Федерации 45 % контрольно-счетных органов муниципальных образований имеют сайты в сети «Интернет», по анализируемым контрольным органам городских округов показатель несколько выше – 56,3%, муниципальных районов – 42,5 %. Такая ситуация </w:t>
      </w:r>
      <w:r w:rsidRPr="00F31106">
        <w:rPr>
          <w:sz w:val="28"/>
          <w:szCs w:val="28"/>
        </w:rPr>
        <w:t xml:space="preserve">затрудняет </w:t>
      </w:r>
      <w:r w:rsidRPr="0027508F">
        <w:rPr>
          <w:sz w:val="28"/>
          <w:szCs w:val="28"/>
        </w:rPr>
        <w:t xml:space="preserve">возможность соблюдения </w:t>
      </w:r>
      <w:r>
        <w:rPr>
          <w:sz w:val="28"/>
          <w:szCs w:val="28"/>
        </w:rPr>
        <w:t>контрольно-счетными органами</w:t>
      </w:r>
      <w:r w:rsidRPr="0027508F">
        <w:rPr>
          <w:sz w:val="28"/>
          <w:szCs w:val="28"/>
        </w:rPr>
        <w:t xml:space="preserve"> принципа гласности в своей деятельности. 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3D4">
        <w:rPr>
          <w:sz w:val="28"/>
          <w:szCs w:val="28"/>
        </w:rPr>
        <w:t>Таким образом, всего за анализируемый</w:t>
      </w:r>
      <w:r w:rsidRPr="00C81A33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>контрольно-счетными органами муниципальных районов</w:t>
      </w:r>
      <w:r w:rsidRPr="00C81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городских округов </w:t>
      </w:r>
      <w:r w:rsidRPr="0067241D">
        <w:rPr>
          <w:sz w:val="28"/>
          <w:szCs w:val="28"/>
        </w:rPr>
        <w:t xml:space="preserve">проведено 176 728 </w:t>
      </w:r>
      <w:r>
        <w:rPr>
          <w:sz w:val="28"/>
          <w:szCs w:val="28"/>
        </w:rPr>
        <w:t xml:space="preserve">контрольных </w:t>
      </w:r>
      <w:r w:rsidRPr="0067241D">
        <w:rPr>
          <w:sz w:val="28"/>
          <w:szCs w:val="28"/>
        </w:rPr>
        <w:t xml:space="preserve">и </w:t>
      </w:r>
      <w:r>
        <w:rPr>
          <w:sz w:val="28"/>
          <w:szCs w:val="28"/>
        </w:rPr>
        <w:t>экспертно-аналитических мероприятий</w:t>
      </w:r>
      <w:r w:rsidRPr="0067241D">
        <w:rPr>
          <w:sz w:val="28"/>
          <w:szCs w:val="28"/>
        </w:rPr>
        <w:t xml:space="preserve">, общая сумма установленных финансовых нарушений составила 432 998,3 млн. рублей, по результатам </w:t>
      </w:r>
      <w:r>
        <w:rPr>
          <w:sz w:val="28"/>
          <w:szCs w:val="28"/>
        </w:rPr>
        <w:t>проведенных мероприятий</w:t>
      </w:r>
      <w:r w:rsidRPr="0067241D">
        <w:rPr>
          <w:sz w:val="28"/>
          <w:szCs w:val="28"/>
        </w:rPr>
        <w:t xml:space="preserve"> было направлено 33 315 представлений и </w:t>
      </w:r>
      <w:r>
        <w:rPr>
          <w:sz w:val="28"/>
          <w:szCs w:val="28"/>
        </w:rPr>
        <w:t>предписаний, материалы 16 715 контрольных мероприятий</w:t>
      </w:r>
      <w:r w:rsidRPr="0067241D">
        <w:rPr>
          <w:sz w:val="28"/>
          <w:szCs w:val="28"/>
        </w:rPr>
        <w:t xml:space="preserve"> были направлены в правоохранительные ор</w:t>
      </w:r>
      <w:r>
        <w:rPr>
          <w:sz w:val="28"/>
          <w:szCs w:val="28"/>
        </w:rPr>
        <w:t>ганы, составлено 1634 протокола</w:t>
      </w:r>
      <w:r w:rsidRPr="0067241D">
        <w:rPr>
          <w:sz w:val="28"/>
          <w:szCs w:val="28"/>
        </w:rPr>
        <w:t xml:space="preserve"> об </w:t>
      </w:r>
      <w:r w:rsidRPr="007A2832">
        <w:rPr>
          <w:sz w:val="28"/>
          <w:szCs w:val="28"/>
        </w:rPr>
        <w:t>административных правонарушениях.</w:t>
      </w:r>
    </w:p>
    <w:p w:rsidR="0014169E" w:rsidRPr="007A2832" w:rsidRDefault="00E45B2A" w:rsidP="00AE16FF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П</w:t>
      </w:r>
      <w:r w:rsidR="0014169E" w:rsidRPr="007A2832">
        <w:rPr>
          <w:sz w:val="28"/>
          <w:szCs w:val="28"/>
        </w:rPr>
        <w:t>оложительная</w:t>
      </w:r>
      <w:r w:rsidR="009D27DC" w:rsidRPr="007A2832">
        <w:rPr>
          <w:sz w:val="28"/>
          <w:szCs w:val="28"/>
        </w:rPr>
        <w:t xml:space="preserve"> и отрицательная динамика</w:t>
      </w:r>
      <w:r w:rsidR="0014169E" w:rsidRPr="007A2832">
        <w:rPr>
          <w:sz w:val="28"/>
          <w:szCs w:val="28"/>
        </w:rPr>
        <w:t xml:space="preserve"> (в 2016 году по отношению к 2015 году) </w:t>
      </w:r>
      <w:r w:rsidRPr="007A2832">
        <w:rPr>
          <w:sz w:val="28"/>
          <w:szCs w:val="28"/>
        </w:rPr>
        <w:t>показателей, характеризующих</w:t>
      </w:r>
      <w:r w:rsidR="0014169E" w:rsidRPr="007A2832">
        <w:rPr>
          <w:sz w:val="28"/>
          <w:szCs w:val="28"/>
        </w:rPr>
        <w:t xml:space="preserve"> деятельность контрольно-счетных органов муниципальных районов и городских округов</w:t>
      </w:r>
      <w:r w:rsidR="009D27DC" w:rsidRPr="007A2832">
        <w:rPr>
          <w:sz w:val="28"/>
          <w:szCs w:val="28"/>
        </w:rPr>
        <w:t xml:space="preserve">, </w:t>
      </w:r>
      <w:r w:rsidRPr="007A2832">
        <w:rPr>
          <w:sz w:val="28"/>
          <w:szCs w:val="28"/>
        </w:rPr>
        <w:t xml:space="preserve">повторяет характер </w:t>
      </w:r>
      <w:r w:rsidR="009D27DC" w:rsidRPr="007A2832">
        <w:rPr>
          <w:sz w:val="28"/>
          <w:szCs w:val="28"/>
        </w:rPr>
        <w:t>динамик</w:t>
      </w:r>
      <w:r w:rsidRPr="007A2832">
        <w:rPr>
          <w:sz w:val="28"/>
          <w:szCs w:val="28"/>
        </w:rPr>
        <w:t>и</w:t>
      </w:r>
      <w:r w:rsidR="009D27DC" w:rsidRPr="007A2832">
        <w:rPr>
          <w:sz w:val="28"/>
          <w:szCs w:val="28"/>
        </w:rPr>
        <w:t xml:space="preserve"> показателей контрольно-счет</w:t>
      </w:r>
      <w:r w:rsidRPr="007A2832">
        <w:rPr>
          <w:sz w:val="28"/>
          <w:szCs w:val="28"/>
        </w:rPr>
        <w:t>ных органов</w:t>
      </w:r>
      <w:r w:rsidR="009D27DC" w:rsidRPr="007A2832">
        <w:rPr>
          <w:sz w:val="28"/>
          <w:szCs w:val="28"/>
        </w:rPr>
        <w:t xml:space="preserve"> муниципальных образований</w:t>
      </w:r>
      <w:r w:rsidR="00D629E7" w:rsidRPr="007A2832">
        <w:rPr>
          <w:sz w:val="28"/>
          <w:szCs w:val="28"/>
        </w:rPr>
        <w:t xml:space="preserve"> в целом по Российской Федерации</w:t>
      </w:r>
      <w:r w:rsidR="009D27DC" w:rsidRPr="007A2832">
        <w:rPr>
          <w:sz w:val="28"/>
          <w:szCs w:val="28"/>
        </w:rPr>
        <w:t>.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Рекомендации и предложения по итогам проведенного анализа </w:t>
      </w:r>
      <w:r w:rsidR="009D27DC" w:rsidRPr="007A2832">
        <w:rPr>
          <w:sz w:val="28"/>
          <w:szCs w:val="28"/>
        </w:rPr>
        <w:t>сформулированы</w:t>
      </w:r>
      <w:r w:rsidRPr="007A2832">
        <w:rPr>
          <w:sz w:val="28"/>
          <w:szCs w:val="28"/>
        </w:rPr>
        <w:t xml:space="preserve"> в следующем</w:t>
      </w:r>
      <w:r w:rsidR="009D27DC" w:rsidRPr="007A2832">
        <w:rPr>
          <w:sz w:val="28"/>
          <w:szCs w:val="28"/>
        </w:rPr>
        <w:t xml:space="preserve"> виде</w:t>
      </w:r>
      <w:r w:rsidRPr="007A2832">
        <w:rPr>
          <w:sz w:val="28"/>
          <w:szCs w:val="28"/>
        </w:rPr>
        <w:t>.</w:t>
      </w:r>
    </w:p>
    <w:p w:rsidR="0014169E" w:rsidRPr="007A2832" w:rsidRDefault="0014169E" w:rsidP="00AE16F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1. Контрольно-счетным органам субъектов РФ: 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активизировать работу в рамках объединений контрольно-счетных органов по оказанию помощи в создании контрольно-счетных органов в городских округах и муниципальных районах, содействию в заключении соглашений о передаче полномочий городскими и сельскими поселениями на уровень района, вовлечению в объединения всех муниципальных контрольно-счетных органов региона, а также принять меры по созданию объединений контрольно-счетных органов в регионах где они отсутствуют;</w:t>
      </w:r>
    </w:p>
    <w:p w:rsidR="00262EDC" w:rsidRPr="007A2832" w:rsidRDefault="0014169E" w:rsidP="00262EDC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с целью повышения качества проводимых мероприятий, обеспечения соблюдения действующего законодательства, оказания организационной, правовой, информационной и методической помощи продолжить практику взаимодействия с контрольно-счетными органами муниципальных образований, в том числе в форме участия в совместных и паралле</w:t>
      </w:r>
      <w:r w:rsidR="00262EDC" w:rsidRPr="007A2832">
        <w:rPr>
          <w:sz w:val="28"/>
          <w:szCs w:val="28"/>
        </w:rPr>
        <w:t>льных контрольных мероприятиях.</w:t>
      </w:r>
    </w:p>
    <w:p w:rsidR="0014169E" w:rsidRPr="007A2832" w:rsidRDefault="0014169E" w:rsidP="00AE16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2). Объединениям контрольно-счетных органов субъектов РФ в рамках оказания методологической помощи муниципальным контрольно-счетным органам: </w:t>
      </w:r>
    </w:p>
    <w:p w:rsidR="0014169E" w:rsidRPr="007A2832" w:rsidRDefault="0014169E" w:rsidP="00AE16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lastRenderedPageBreak/>
        <w:t>- провести работу по оказанию помощи контрольно-счетным органам муниципальных образований в создании собственных сайтов в соответствии с действующим законодательством;</w:t>
      </w:r>
    </w:p>
    <w:p w:rsidR="0014169E" w:rsidRPr="007A2832" w:rsidRDefault="0014169E" w:rsidP="00AE16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продолжить работу с муниципальными контрольно-счетными органами по разработке и применению стандартов внешнего муниципального финансового контроля, а также использованию классификатора нарушений.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3). Контрольно-счетным органам муниципальных образований: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– активизировать работу по реализации полномочий внешнего муниципального финансового контроля; 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в своей деятельности максимально использовать положения  Классификатора нарушений, выявляемых в ходе внешнего государственного аудита (контроля);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продолжить работу по принятию стандартов внешнего муниципального финансового контроля, которые должны способствовать снижению рисков контроля, повышению профессионализма сотрудников, качества контрольной и экспертно-аналитической деятельности;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провести работу по созданию официального сайта с собственным доменным именем в соответствии с требованиями федерального законодательства.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4) Комиссии Совета по совершенствованию внешнего финансового контроля на муниципальном уровне: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обратиться в комиссию Совета по правовым вопросам с предложением проанализировать возможность законодательного закрепления права представительных органов муниципальных образований передавать полномочия по осуществлению внешнего муниципального финансового контроля контрольно-счетным органам субъектов Российской Федерации;</w:t>
      </w:r>
    </w:p>
    <w:p w:rsidR="0014169E" w:rsidRPr="007A2832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7A2832">
        <w:rPr>
          <w:rFonts w:ascii="Times New Roman" w:hAnsi="Times New Roman"/>
          <w:sz w:val="28"/>
          <w:szCs w:val="28"/>
        </w:rPr>
        <w:t xml:space="preserve">– </w:t>
      </w:r>
      <w:r w:rsidRPr="007A2832">
        <w:rPr>
          <w:rFonts w:ascii="Times New Roman" w:hAnsi="Times New Roman"/>
          <w:sz w:val="28"/>
          <w:szCs w:val="28"/>
          <w:lang w:eastAsia="ru-RU"/>
        </w:rPr>
        <w:t xml:space="preserve">разработать правила заполнения </w:t>
      </w:r>
      <w:r w:rsidRPr="007A2832">
        <w:rPr>
          <w:rFonts w:ascii="Times New Roman" w:hAnsi="Times New Roman"/>
          <w:sz w:val="28"/>
          <w:szCs w:val="28"/>
        </w:rPr>
        <w:t>отчетных аналитических форм о создании и деятельности контрольно-счетных органов муниципальных образований;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провести анализ выполнения полномочий, в том числе в рамках заключенных соглашений с поселениями, по осуществлению внешнего муниципального финансового контроля контрольно-счетными органами муниципальных образований в субъектах Российской Федерации за 2017 год;</w:t>
      </w:r>
    </w:p>
    <w:p w:rsidR="0014169E" w:rsidRPr="007A2832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совместно с комиссией Совета по вопросам повышения квалификации сотрудников контрольно-счетных органов проработать вопрос разработки программ дистанционного обучения сотрудников контрольных органов, направленных на минимизацию затрат бюджетных средств;</w:t>
      </w:r>
    </w:p>
    <w:p w:rsidR="0014169E" w:rsidRPr="00A97631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– совместно с комиссией Совета по вопросам методологии провести анализ применения Классификатора нарушений, выявляемых в ходе внешнего государственного аудита (контроля) контрольно-счетными органами муниципальных образований.</w:t>
      </w:r>
    </w:p>
    <w:p w:rsidR="004C0EAB" w:rsidRDefault="004C0EAB" w:rsidP="009B68FA">
      <w:pPr>
        <w:shd w:val="clear" w:color="auto" w:fill="FFFFFF"/>
        <w:tabs>
          <w:tab w:val="left" w:pos="893"/>
        </w:tabs>
        <w:ind w:left="34" w:right="14" w:firstLine="701"/>
        <w:jc w:val="both"/>
        <w:rPr>
          <w:sz w:val="28"/>
          <w:szCs w:val="28"/>
          <w:u w:val="single"/>
        </w:rPr>
      </w:pPr>
    </w:p>
    <w:p w:rsidR="004C0EAB" w:rsidRDefault="004C0EAB" w:rsidP="009B68FA">
      <w:pPr>
        <w:shd w:val="clear" w:color="auto" w:fill="FFFFFF"/>
        <w:tabs>
          <w:tab w:val="left" w:pos="893"/>
        </w:tabs>
        <w:ind w:left="34" w:right="14" w:firstLine="701"/>
        <w:jc w:val="both"/>
        <w:rPr>
          <w:sz w:val="28"/>
          <w:szCs w:val="28"/>
          <w:u w:val="single"/>
        </w:rPr>
      </w:pPr>
    </w:p>
    <w:p w:rsidR="004C0EAB" w:rsidRDefault="004C0EAB" w:rsidP="009B68FA">
      <w:pPr>
        <w:shd w:val="clear" w:color="auto" w:fill="FFFFFF"/>
        <w:tabs>
          <w:tab w:val="left" w:pos="893"/>
        </w:tabs>
        <w:ind w:left="34" w:right="14" w:firstLine="701"/>
        <w:jc w:val="both"/>
        <w:rPr>
          <w:sz w:val="28"/>
          <w:szCs w:val="28"/>
          <w:u w:val="single"/>
        </w:rPr>
      </w:pPr>
    </w:p>
    <w:p w:rsidR="0014169E" w:rsidRPr="00A31F62" w:rsidRDefault="0014169E" w:rsidP="009B68FA">
      <w:pPr>
        <w:shd w:val="clear" w:color="auto" w:fill="FFFFFF"/>
        <w:tabs>
          <w:tab w:val="left" w:pos="893"/>
        </w:tabs>
        <w:ind w:left="34" w:right="14" w:firstLine="701"/>
        <w:jc w:val="both"/>
        <w:rPr>
          <w:sz w:val="28"/>
          <w:szCs w:val="28"/>
        </w:rPr>
      </w:pPr>
      <w:r w:rsidRPr="00CD49C0">
        <w:rPr>
          <w:sz w:val="28"/>
          <w:szCs w:val="28"/>
          <w:u w:val="single"/>
        </w:rPr>
        <w:lastRenderedPageBreak/>
        <w:t>Оказание консультативной помощи контрольно-счетным органам муниципальных образований</w:t>
      </w:r>
      <w:r w:rsidRPr="00A31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(п. </w:t>
      </w:r>
      <w:r w:rsidRPr="00A31F62">
        <w:rPr>
          <w:sz w:val="28"/>
          <w:szCs w:val="28"/>
        </w:rPr>
        <w:t>4.</w:t>
      </w:r>
      <w:r>
        <w:rPr>
          <w:sz w:val="28"/>
          <w:szCs w:val="28"/>
        </w:rPr>
        <w:t>4.4 плана Совета, п. 2.2.3 плана Комиссии)</w:t>
      </w:r>
    </w:p>
    <w:p w:rsidR="0014169E" w:rsidRPr="00CD49C0" w:rsidRDefault="0014169E" w:rsidP="00A76994">
      <w:pPr>
        <w:ind w:firstLine="720"/>
        <w:jc w:val="both"/>
        <w:rPr>
          <w:sz w:val="28"/>
          <w:szCs w:val="28"/>
        </w:rPr>
      </w:pPr>
      <w:r w:rsidRPr="00CD49C0">
        <w:rPr>
          <w:sz w:val="28"/>
          <w:szCs w:val="28"/>
        </w:rPr>
        <w:t xml:space="preserve">В 2017 году Комиссия в рамках своих полномочий, через членов Комиссии в федеральных округах и руководителей региональных контрольно-счетных органов, оказывала контрольно-счетным органам муниципальных образований </w:t>
      </w:r>
      <w:r>
        <w:rPr>
          <w:sz w:val="28"/>
          <w:szCs w:val="28"/>
        </w:rPr>
        <w:t xml:space="preserve">консультативную </w:t>
      </w:r>
      <w:r w:rsidRPr="00CD49C0">
        <w:rPr>
          <w:sz w:val="28"/>
          <w:szCs w:val="28"/>
        </w:rPr>
        <w:t>помощь.</w:t>
      </w:r>
    </w:p>
    <w:p w:rsidR="0014169E" w:rsidRDefault="0014169E" w:rsidP="00D05329">
      <w:pPr>
        <w:ind w:firstLine="720"/>
        <w:jc w:val="both"/>
        <w:rPr>
          <w:b/>
        </w:rPr>
      </w:pPr>
    </w:p>
    <w:p w:rsidR="00D57DB8" w:rsidRPr="007A2832" w:rsidRDefault="0014169E" w:rsidP="00D57DB8">
      <w:pPr>
        <w:ind w:firstLine="720"/>
        <w:jc w:val="both"/>
        <w:rPr>
          <w:b/>
          <w:sz w:val="28"/>
          <w:szCs w:val="28"/>
        </w:rPr>
      </w:pPr>
      <w:r w:rsidRPr="007A2832">
        <w:rPr>
          <w:b/>
          <w:sz w:val="28"/>
          <w:szCs w:val="28"/>
        </w:rPr>
        <w:t>В соответствии с планом работы Комиссии в 2017</w:t>
      </w:r>
      <w:r w:rsidR="00D57DB8" w:rsidRPr="007A2832">
        <w:rPr>
          <w:b/>
          <w:sz w:val="28"/>
          <w:szCs w:val="28"/>
        </w:rPr>
        <w:t xml:space="preserve"> году проведены следующие мероприятия:</w:t>
      </w:r>
    </w:p>
    <w:p w:rsidR="0014169E" w:rsidRPr="007A2832" w:rsidRDefault="0014169E" w:rsidP="00AE16FF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  <w:u w:val="single"/>
        </w:rPr>
        <w:t>Обобщение опыта контрольно-счетных органов муниципальных образований по осуществлению производства по делам об административных правонарушениях за 2016 год</w:t>
      </w:r>
      <w:r w:rsidRPr="007A2832">
        <w:rPr>
          <w:sz w:val="28"/>
          <w:szCs w:val="28"/>
        </w:rPr>
        <w:t xml:space="preserve"> (п. 3.1 плана Комиссии)</w:t>
      </w:r>
    </w:p>
    <w:p w:rsidR="0014169E" w:rsidRDefault="0014169E" w:rsidP="00AE16FF">
      <w:pPr>
        <w:ind w:firstLine="720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В рамках реализации мероприятия обобщены данные опросных листов о количестве составленных протоколов об административных нарушениях</w:t>
      </w:r>
      <w:r>
        <w:rPr>
          <w:sz w:val="28"/>
          <w:szCs w:val="28"/>
        </w:rPr>
        <w:t xml:space="preserve"> муниципальными контрольно-счетными органами за 2016 год</w:t>
      </w:r>
      <w:r w:rsidRPr="00245E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обобщена</w:t>
      </w:r>
      <w:r w:rsidRPr="00245E64">
        <w:rPr>
          <w:sz w:val="28"/>
          <w:szCs w:val="28"/>
        </w:rPr>
        <w:t xml:space="preserve"> и </w:t>
      </w:r>
      <w:r>
        <w:rPr>
          <w:sz w:val="28"/>
          <w:szCs w:val="28"/>
        </w:rPr>
        <w:t>проанализирована информация</w:t>
      </w:r>
      <w:r w:rsidRPr="00245E64">
        <w:rPr>
          <w:sz w:val="28"/>
          <w:szCs w:val="28"/>
        </w:rPr>
        <w:t xml:space="preserve"> о результатах рассмотрения дел, о возникающих трудностях при возбуждении и рассмотрении дел об административных правонарушениях, </w:t>
      </w:r>
      <w:r>
        <w:rPr>
          <w:sz w:val="28"/>
          <w:szCs w:val="28"/>
        </w:rPr>
        <w:t>о</w:t>
      </w:r>
      <w:r w:rsidRPr="00245E64">
        <w:rPr>
          <w:sz w:val="28"/>
          <w:szCs w:val="28"/>
        </w:rPr>
        <w:t xml:space="preserve"> законодательно</w:t>
      </w:r>
      <w:r>
        <w:rPr>
          <w:sz w:val="28"/>
          <w:szCs w:val="28"/>
        </w:rPr>
        <w:t>м установлении</w:t>
      </w:r>
      <w:r w:rsidRPr="00245E64">
        <w:rPr>
          <w:sz w:val="28"/>
          <w:szCs w:val="28"/>
        </w:rPr>
        <w:t xml:space="preserve"> субъектом</w:t>
      </w:r>
      <w:r>
        <w:rPr>
          <w:sz w:val="28"/>
          <w:szCs w:val="28"/>
        </w:rPr>
        <w:t xml:space="preserve"> РФ</w:t>
      </w:r>
      <w:r w:rsidRPr="00245E64">
        <w:rPr>
          <w:sz w:val="28"/>
          <w:szCs w:val="28"/>
        </w:rPr>
        <w:t xml:space="preserve"> перечней должностных лиц </w:t>
      </w:r>
      <w:r>
        <w:rPr>
          <w:sz w:val="28"/>
          <w:szCs w:val="28"/>
        </w:rPr>
        <w:t>муниципальных контрольно-счетных органов</w:t>
      </w:r>
      <w:r w:rsidRPr="00245E64">
        <w:rPr>
          <w:sz w:val="28"/>
          <w:szCs w:val="28"/>
        </w:rPr>
        <w:t>, которые вправе составлять протоколы об административных правонарушениях при осуществлении муниципального финансового контроля в соответствии с ч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7 ст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28.3 </w:t>
      </w:r>
      <w:r w:rsidRPr="00102181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102181">
        <w:rPr>
          <w:sz w:val="28"/>
          <w:szCs w:val="28"/>
        </w:rPr>
        <w:t xml:space="preserve"> Российской Федерации об административных правонарушениях от 30.12.2001 </w:t>
      </w:r>
      <w:r>
        <w:rPr>
          <w:sz w:val="28"/>
          <w:szCs w:val="28"/>
        </w:rPr>
        <w:t>№</w:t>
      </w:r>
      <w:r w:rsidRPr="00102181">
        <w:rPr>
          <w:sz w:val="28"/>
          <w:szCs w:val="28"/>
        </w:rPr>
        <w:t xml:space="preserve"> 195-ФЗ</w:t>
      </w:r>
      <w:r>
        <w:rPr>
          <w:sz w:val="28"/>
          <w:szCs w:val="28"/>
        </w:rPr>
        <w:t xml:space="preserve"> (далее - </w:t>
      </w:r>
      <w:r w:rsidRPr="00245E64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245E64">
        <w:rPr>
          <w:sz w:val="28"/>
          <w:szCs w:val="28"/>
        </w:rPr>
        <w:t>.</w:t>
      </w:r>
    </w:p>
    <w:p w:rsidR="0014169E" w:rsidRDefault="0014169E" w:rsidP="00AE1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КоАП РФ </w:t>
      </w:r>
      <w:r w:rsidRPr="00245E64">
        <w:rPr>
          <w:sz w:val="28"/>
          <w:szCs w:val="28"/>
        </w:rPr>
        <w:t>(ч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7 ст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28.3) установлено, что должностные лица органов местного самоуправления</w:t>
      </w:r>
      <w:r>
        <w:rPr>
          <w:sz w:val="28"/>
          <w:szCs w:val="28"/>
        </w:rPr>
        <w:t>,</w:t>
      </w:r>
      <w:r w:rsidRPr="00245E64">
        <w:rPr>
          <w:sz w:val="28"/>
          <w:szCs w:val="28"/>
        </w:rPr>
        <w:t xml:space="preserve"> перечень которых устанавливается законами субъектов РФ при осуществлении муниципального финансового контроля вправе составлять протоколы об административных правонарушениях, предусмотренных статьями 5.21, 15.1, 15.11, 15.14-15.15.16, ч</w:t>
      </w:r>
      <w:r>
        <w:rPr>
          <w:sz w:val="28"/>
          <w:szCs w:val="28"/>
        </w:rPr>
        <w:t xml:space="preserve">. </w:t>
      </w:r>
      <w:r w:rsidRPr="00245E64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19.4, ст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19.4.1, ч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20 и 20.1 ст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19.5, ст</w:t>
      </w:r>
      <w:r>
        <w:rPr>
          <w:sz w:val="28"/>
          <w:szCs w:val="28"/>
        </w:rPr>
        <w:t>.</w:t>
      </w:r>
      <w:r w:rsidRPr="00245E64">
        <w:rPr>
          <w:sz w:val="28"/>
          <w:szCs w:val="28"/>
        </w:rPr>
        <w:t xml:space="preserve"> 19.6 и 19.7 КоАП РФ.</w:t>
      </w:r>
    </w:p>
    <w:p w:rsidR="0014169E" w:rsidRPr="00245E64" w:rsidRDefault="0014169E" w:rsidP="00AE1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 </w:t>
      </w:r>
      <w:r w:rsidR="00920956">
        <w:rPr>
          <w:sz w:val="28"/>
          <w:szCs w:val="28"/>
        </w:rPr>
        <w:t xml:space="preserve">из 2216 </w:t>
      </w:r>
      <w:r>
        <w:rPr>
          <w:sz w:val="28"/>
          <w:szCs w:val="28"/>
        </w:rPr>
        <w:t>создан</w:t>
      </w:r>
      <w:r w:rsidR="00920956">
        <w:rPr>
          <w:sz w:val="28"/>
          <w:szCs w:val="28"/>
        </w:rPr>
        <w:t>ных</w:t>
      </w:r>
      <w:r w:rsidRPr="00245E6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контрольно-счетных органов</w:t>
      </w:r>
      <w:r w:rsidRPr="00245E64">
        <w:rPr>
          <w:sz w:val="28"/>
          <w:szCs w:val="28"/>
        </w:rPr>
        <w:t xml:space="preserve"> в </w:t>
      </w:r>
      <w:r>
        <w:rPr>
          <w:sz w:val="28"/>
          <w:szCs w:val="28"/>
        </w:rPr>
        <w:t>1946 отсутствует</w:t>
      </w:r>
      <w:r w:rsidRPr="00624DA2">
        <w:rPr>
          <w:sz w:val="28"/>
          <w:szCs w:val="28"/>
        </w:rPr>
        <w:t xml:space="preserve"> </w:t>
      </w:r>
      <w:r w:rsidRPr="00245E64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по составлению</w:t>
      </w:r>
      <w:r w:rsidRPr="00245E64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245E6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</w:t>
      </w:r>
      <w:r w:rsidRPr="00245E64">
        <w:rPr>
          <w:sz w:val="28"/>
          <w:szCs w:val="28"/>
        </w:rPr>
        <w:t xml:space="preserve"> из них: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в Центральном федеральном округе – </w:t>
      </w:r>
      <w:r w:rsidR="00BC3D12" w:rsidRPr="007A2832">
        <w:rPr>
          <w:sz w:val="28"/>
          <w:szCs w:val="28"/>
        </w:rPr>
        <w:t xml:space="preserve">из </w:t>
      </w:r>
      <w:r w:rsidRPr="007A2832">
        <w:rPr>
          <w:sz w:val="28"/>
          <w:szCs w:val="28"/>
        </w:rPr>
        <w:t>559 МКСО в 512 (92%)</w:t>
      </w:r>
      <w:r w:rsidR="00BC3D12" w:rsidRPr="007A2832">
        <w:rPr>
          <w:sz w:val="28"/>
          <w:szCs w:val="28"/>
        </w:rPr>
        <w:t>;</w:t>
      </w:r>
      <w:r w:rsidRPr="007A2832">
        <w:rPr>
          <w:sz w:val="28"/>
          <w:szCs w:val="28"/>
        </w:rPr>
        <w:t xml:space="preserve"> 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в Северо-Западном федеральном округе – </w:t>
      </w:r>
      <w:r w:rsidR="00BC3D12" w:rsidRPr="007A2832">
        <w:rPr>
          <w:sz w:val="28"/>
          <w:szCs w:val="28"/>
        </w:rPr>
        <w:t xml:space="preserve">из </w:t>
      </w:r>
      <w:r w:rsidR="00E65962">
        <w:rPr>
          <w:sz w:val="28"/>
          <w:szCs w:val="28"/>
        </w:rPr>
        <w:t xml:space="preserve">195 МКСО в 167 </w:t>
      </w:r>
      <w:r w:rsidRPr="007A2832">
        <w:rPr>
          <w:sz w:val="28"/>
          <w:szCs w:val="28"/>
        </w:rPr>
        <w:t>(86%)</w:t>
      </w:r>
      <w:r w:rsidR="00BC3D12" w:rsidRPr="007A2832">
        <w:rPr>
          <w:sz w:val="28"/>
          <w:szCs w:val="28"/>
        </w:rPr>
        <w:t>;</w:t>
      </w:r>
      <w:r w:rsidRPr="007A2832">
        <w:rPr>
          <w:sz w:val="28"/>
          <w:szCs w:val="28"/>
        </w:rPr>
        <w:t xml:space="preserve"> 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в Южном федеральном округе – </w:t>
      </w:r>
      <w:r w:rsidR="00BC3D12" w:rsidRPr="007A2832">
        <w:rPr>
          <w:sz w:val="28"/>
          <w:szCs w:val="28"/>
        </w:rPr>
        <w:t xml:space="preserve">из </w:t>
      </w:r>
      <w:r w:rsidRPr="007A2832">
        <w:rPr>
          <w:sz w:val="28"/>
          <w:szCs w:val="28"/>
        </w:rPr>
        <w:t>172 МКСО в 126 (73%)</w:t>
      </w:r>
      <w:r w:rsidR="00BC3D12" w:rsidRPr="007A2832">
        <w:rPr>
          <w:sz w:val="28"/>
          <w:szCs w:val="28"/>
        </w:rPr>
        <w:t>;</w:t>
      </w:r>
      <w:r w:rsidRPr="007A2832">
        <w:rPr>
          <w:sz w:val="28"/>
          <w:szCs w:val="28"/>
        </w:rPr>
        <w:t xml:space="preserve"> 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в Северо-Кавказском федеральном округе – </w:t>
      </w:r>
      <w:r w:rsidR="00BC3D12" w:rsidRPr="007A2832">
        <w:rPr>
          <w:sz w:val="28"/>
          <w:szCs w:val="28"/>
        </w:rPr>
        <w:t xml:space="preserve">из </w:t>
      </w:r>
      <w:r w:rsidRPr="007A2832">
        <w:rPr>
          <w:sz w:val="28"/>
          <w:szCs w:val="28"/>
        </w:rPr>
        <w:t>130 МКСО в 125 (96%)</w:t>
      </w:r>
      <w:r w:rsidR="00BC3D12" w:rsidRPr="007A2832">
        <w:rPr>
          <w:sz w:val="28"/>
          <w:szCs w:val="28"/>
        </w:rPr>
        <w:t>;</w:t>
      </w:r>
      <w:r w:rsidRPr="007A2832">
        <w:rPr>
          <w:sz w:val="28"/>
          <w:szCs w:val="28"/>
        </w:rPr>
        <w:t xml:space="preserve"> 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в Приволжском федеральном округе – </w:t>
      </w:r>
      <w:r w:rsidR="00BC3D12" w:rsidRPr="007A2832">
        <w:rPr>
          <w:sz w:val="28"/>
          <w:szCs w:val="28"/>
        </w:rPr>
        <w:t xml:space="preserve">из </w:t>
      </w:r>
      <w:r w:rsidRPr="007A2832">
        <w:rPr>
          <w:sz w:val="28"/>
          <w:szCs w:val="28"/>
        </w:rPr>
        <w:t>458 МКСО в 402 (88%)</w:t>
      </w:r>
      <w:r w:rsidR="00BC3D12" w:rsidRPr="007A2832">
        <w:rPr>
          <w:sz w:val="28"/>
          <w:szCs w:val="28"/>
        </w:rPr>
        <w:t>;</w:t>
      </w:r>
      <w:r w:rsidRPr="007A2832">
        <w:rPr>
          <w:sz w:val="28"/>
          <w:szCs w:val="28"/>
        </w:rPr>
        <w:t xml:space="preserve"> 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в Уральском федеральном округе – </w:t>
      </w:r>
      <w:r w:rsidR="00BC3D12" w:rsidRPr="007A2832">
        <w:rPr>
          <w:sz w:val="28"/>
          <w:szCs w:val="28"/>
        </w:rPr>
        <w:t xml:space="preserve">из </w:t>
      </w:r>
      <w:r w:rsidRPr="007A2832">
        <w:rPr>
          <w:sz w:val="28"/>
          <w:szCs w:val="28"/>
        </w:rPr>
        <w:t xml:space="preserve">196 </w:t>
      </w:r>
      <w:r w:rsidR="00BC3D12" w:rsidRPr="007A2832">
        <w:rPr>
          <w:sz w:val="28"/>
          <w:szCs w:val="28"/>
        </w:rPr>
        <w:t xml:space="preserve">МКСО </w:t>
      </w:r>
      <w:r w:rsidRPr="007A2832">
        <w:rPr>
          <w:sz w:val="28"/>
          <w:szCs w:val="28"/>
        </w:rPr>
        <w:t>в 161(82%)</w:t>
      </w:r>
      <w:r w:rsidR="00BC3D12" w:rsidRPr="007A2832">
        <w:rPr>
          <w:sz w:val="28"/>
          <w:szCs w:val="28"/>
        </w:rPr>
        <w:t>;</w:t>
      </w:r>
      <w:r w:rsidRPr="007A2832">
        <w:rPr>
          <w:sz w:val="28"/>
          <w:szCs w:val="28"/>
        </w:rPr>
        <w:t xml:space="preserve"> </w:t>
      </w:r>
    </w:p>
    <w:p w:rsidR="0014169E" w:rsidRPr="007A2832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в Сибирском федеральном округе – </w:t>
      </w:r>
      <w:r w:rsidR="00BC3D12" w:rsidRPr="007A2832">
        <w:rPr>
          <w:sz w:val="28"/>
          <w:szCs w:val="28"/>
        </w:rPr>
        <w:t xml:space="preserve">из </w:t>
      </w:r>
      <w:r w:rsidRPr="007A2832">
        <w:rPr>
          <w:sz w:val="28"/>
          <w:szCs w:val="28"/>
        </w:rPr>
        <w:t>328 МКСО</w:t>
      </w:r>
      <w:r w:rsidR="00BC3D12" w:rsidRPr="007A2832">
        <w:rPr>
          <w:sz w:val="28"/>
          <w:szCs w:val="28"/>
        </w:rPr>
        <w:t xml:space="preserve"> </w:t>
      </w:r>
      <w:r w:rsidRPr="007A2832">
        <w:rPr>
          <w:sz w:val="28"/>
          <w:szCs w:val="28"/>
        </w:rPr>
        <w:t>в 302 (92%)</w:t>
      </w:r>
      <w:r w:rsidR="00BC3D12" w:rsidRPr="007A2832">
        <w:rPr>
          <w:sz w:val="28"/>
          <w:szCs w:val="28"/>
        </w:rPr>
        <w:t>;</w:t>
      </w:r>
      <w:r w:rsidRPr="007A2832">
        <w:rPr>
          <w:sz w:val="28"/>
          <w:szCs w:val="28"/>
        </w:rPr>
        <w:t xml:space="preserve"> </w:t>
      </w:r>
    </w:p>
    <w:p w:rsidR="0014169E" w:rsidRDefault="0014169E" w:rsidP="00AE16FF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- в Дальневосточном федеральном округе – </w:t>
      </w:r>
      <w:r w:rsidR="00BC3D12" w:rsidRPr="007A2832">
        <w:rPr>
          <w:sz w:val="28"/>
          <w:szCs w:val="28"/>
        </w:rPr>
        <w:t xml:space="preserve">из </w:t>
      </w:r>
      <w:r w:rsidRPr="007A2832">
        <w:rPr>
          <w:sz w:val="28"/>
          <w:szCs w:val="28"/>
        </w:rPr>
        <w:t xml:space="preserve">178 </w:t>
      </w:r>
      <w:r w:rsidR="00BC3D12" w:rsidRPr="007A2832">
        <w:rPr>
          <w:sz w:val="28"/>
          <w:szCs w:val="28"/>
        </w:rPr>
        <w:t xml:space="preserve">МКСО </w:t>
      </w:r>
      <w:r w:rsidRPr="007A2832">
        <w:rPr>
          <w:sz w:val="28"/>
          <w:szCs w:val="28"/>
        </w:rPr>
        <w:t>в 151 (85%)</w:t>
      </w:r>
      <w:r w:rsidR="00BC3D12" w:rsidRPr="007A28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4F05" w:rsidRDefault="0014169E" w:rsidP="00AE16FF">
      <w:pPr>
        <w:ind w:firstLine="709"/>
        <w:jc w:val="both"/>
        <w:rPr>
          <w:sz w:val="28"/>
          <w:szCs w:val="28"/>
        </w:rPr>
      </w:pPr>
      <w:r w:rsidRPr="00245E64">
        <w:rPr>
          <w:sz w:val="28"/>
          <w:szCs w:val="28"/>
        </w:rPr>
        <w:t>На законодательном уровне</w:t>
      </w:r>
      <w:r>
        <w:rPr>
          <w:sz w:val="28"/>
          <w:szCs w:val="28"/>
        </w:rPr>
        <w:t xml:space="preserve"> отсутствует перечень должностных лиц муниципальных контрольно-счетных органов, имеющих право составлять протоколы об административных правонарушениях в 1 субъекте</w:t>
      </w:r>
      <w:r w:rsidRPr="00245E64">
        <w:rPr>
          <w:sz w:val="28"/>
          <w:szCs w:val="28"/>
        </w:rPr>
        <w:t xml:space="preserve"> Централ</w:t>
      </w:r>
      <w:r>
        <w:rPr>
          <w:sz w:val="28"/>
          <w:szCs w:val="28"/>
        </w:rPr>
        <w:t>ьного, Дальневосточного и Южного федеральных округов; в 2 субъектах Северо-</w:t>
      </w:r>
    </w:p>
    <w:p w:rsidR="00B24F05" w:rsidRDefault="00B24F05" w:rsidP="00AE16FF">
      <w:pPr>
        <w:ind w:firstLine="709"/>
        <w:jc w:val="both"/>
        <w:rPr>
          <w:sz w:val="28"/>
          <w:szCs w:val="28"/>
        </w:rPr>
      </w:pPr>
    </w:p>
    <w:p w:rsidR="0014169E" w:rsidRDefault="0014169E" w:rsidP="00B24F05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федерального округа; в 3 субъектах Сибирского федерального округа.</w:t>
      </w:r>
    </w:p>
    <w:p w:rsidR="00B24F05" w:rsidRPr="00245E64" w:rsidRDefault="0098496B" w:rsidP="00AE1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169E" w:rsidRPr="00087BFE">
        <w:rPr>
          <w:sz w:val="28"/>
          <w:szCs w:val="28"/>
        </w:rPr>
        <w:t>а 2016 год должностными лица</w:t>
      </w:r>
      <w:r w:rsidR="002964B0">
        <w:rPr>
          <w:sz w:val="28"/>
          <w:szCs w:val="28"/>
        </w:rPr>
        <w:t xml:space="preserve">ми </w:t>
      </w:r>
      <w:r>
        <w:rPr>
          <w:sz w:val="28"/>
          <w:szCs w:val="28"/>
        </w:rPr>
        <w:t>муниципальных контрольно-счетных органов</w:t>
      </w:r>
      <w:r w:rsidR="002964B0">
        <w:rPr>
          <w:sz w:val="28"/>
          <w:szCs w:val="28"/>
        </w:rPr>
        <w:t xml:space="preserve"> составлено 1262 протокола</w:t>
      </w:r>
      <w:r w:rsidR="0014169E" w:rsidRPr="00087BFE">
        <w:rPr>
          <w:sz w:val="28"/>
          <w:szCs w:val="28"/>
        </w:rPr>
        <w:t xml:space="preserve"> по 31 составу </w:t>
      </w:r>
      <w:r>
        <w:rPr>
          <w:sz w:val="28"/>
          <w:szCs w:val="28"/>
        </w:rPr>
        <w:t>административных правонарушений</w:t>
      </w:r>
      <w:r w:rsidR="002964B0">
        <w:rPr>
          <w:sz w:val="28"/>
          <w:szCs w:val="28"/>
        </w:rPr>
        <w:t xml:space="preserve">. </w:t>
      </w:r>
      <w:r w:rsidR="0014169E" w:rsidRPr="007552E2">
        <w:rPr>
          <w:sz w:val="28"/>
          <w:szCs w:val="28"/>
        </w:rPr>
        <w:t>Сумма штрафов составила 7516</w:t>
      </w:r>
      <w:r w:rsidR="0014169E">
        <w:rPr>
          <w:sz w:val="28"/>
          <w:szCs w:val="28"/>
        </w:rPr>
        <w:t>,</w:t>
      </w:r>
      <w:r w:rsidR="0014169E" w:rsidRPr="007552E2">
        <w:rPr>
          <w:sz w:val="28"/>
          <w:szCs w:val="28"/>
        </w:rPr>
        <w:t>5</w:t>
      </w:r>
      <w:r w:rsidR="0014169E">
        <w:rPr>
          <w:sz w:val="28"/>
          <w:szCs w:val="28"/>
        </w:rPr>
        <w:t xml:space="preserve"> тыс.</w:t>
      </w:r>
      <w:r w:rsidR="0014169E" w:rsidRPr="007552E2">
        <w:rPr>
          <w:sz w:val="28"/>
          <w:szCs w:val="28"/>
        </w:rPr>
        <w:t xml:space="preserve"> рублей.</w:t>
      </w:r>
    </w:p>
    <w:p w:rsidR="0014169E" w:rsidRPr="00491353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491353">
        <w:rPr>
          <w:rFonts w:ascii="Times New Roman" w:hAnsi="Times New Roman"/>
          <w:sz w:val="28"/>
          <w:szCs w:val="28"/>
        </w:rPr>
        <w:t xml:space="preserve">Наибольшее количество протоколов составлено: </w:t>
      </w:r>
    </w:p>
    <w:p w:rsidR="0014169E" w:rsidRPr="00491353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491353">
        <w:rPr>
          <w:rFonts w:ascii="Times New Roman" w:hAnsi="Times New Roman"/>
          <w:sz w:val="28"/>
          <w:szCs w:val="28"/>
        </w:rPr>
        <w:t>- за грубое нарушение требований к бухгалтерскому учету, в том числе к бухгалтерской (финансовой) отчетности (ч. 1 ст. 15.11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353">
        <w:rPr>
          <w:rFonts w:ascii="Times New Roman" w:hAnsi="Times New Roman"/>
          <w:sz w:val="28"/>
          <w:szCs w:val="28"/>
        </w:rPr>
        <w:t xml:space="preserve">КоАП РФ) </w:t>
      </w:r>
      <w:r>
        <w:rPr>
          <w:rFonts w:ascii="Times New Roman" w:hAnsi="Times New Roman"/>
          <w:sz w:val="28"/>
          <w:szCs w:val="28"/>
        </w:rPr>
        <w:t>- 24% от общего количества</w:t>
      </w:r>
      <w:r w:rsidRPr="00491353">
        <w:rPr>
          <w:rFonts w:ascii="Times New Roman" w:hAnsi="Times New Roman"/>
          <w:sz w:val="28"/>
          <w:szCs w:val="28"/>
        </w:rPr>
        <w:t>;</w:t>
      </w:r>
    </w:p>
    <w:p w:rsidR="0014169E" w:rsidRPr="00491353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491353">
        <w:rPr>
          <w:rFonts w:ascii="Times New Roman" w:hAnsi="Times New Roman"/>
          <w:sz w:val="28"/>
          <w:szCs w:val="28"/>
        </w:rPr>
        <w:t>- за нецелевое использование бюджетн</w:t>
      </w:r>
      <w:r>
        <w:rPr>
          <w:rFonts w:ascii="Times New Roman" w:hAnsi="Times New Roman"/>
          <w:sz w:val="28"/>
          <w:szCs w:val="28"/>
        </w:rPr>
        <w:t>ых средств (ст. 15.14 КоАП РФ) -</w:t>
      </w:r>
      <w:r w:rsidRPr="004913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1% от общего количества</w:t>
      </w:r>
      <w:r w:rsidRPr="00491353">
        <w:rPr>
          <w:rFonts w:ascii="Times New Roman" w:hAnsi="Times New Roman"/>
          <w:sz w:val="28"/>
          <w:szCs w:val="28"/>
        </w:rPr>
        <w:t>;</w:t>
      </w:r>
    </w:p>
    <w:p w:rsidR="0014169E" w:rsidRPr="00491353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491353">
        <w:rPr>
          <w:rFonts w:ascii="Times New Roman" w:hAnsi="Times New Roman"/>
          <w:sz w:val="28"/>
          <w:szCs w:val="28"/>
        </w:rPr>
        <w:t>- за нарушения условий предоставления субсидий (ст. 15.15.5</w:t>
      </w:r>
      <w:r w:rsidRPr="002C1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 - 10% от общего количества</w:t>
      </w:r>
      <w:r w:rsidRPr="00491353">
        <w:rPr>
          <w:rFonts w:ascii="Times New Roman" w:hAnsi="Times New Roman"/>
          <w:sz w:val="28"/>
          <w:szCs w:val="28"/>
        </w:rPr>
        <w:t>;</w:t>
      </w:r>
    </w:p>
    <w:p w:rsidR="0014169E" w:rsidRPr="00491353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491353">
        <w:rPr>
          <w:rFonts w:ascii="Times New Roman" w:hAnsi="Times New Roman"/>
          <w:sz w:val="28"/>
          <w:szCs w:val="28"/>
        </w:rPr>
        <w:t>- за нарушения порядка принятия бюджетных обяза</w:t>
      </w:r>
      <w:r>
        <w:rPr>
          <w:rFonts w:ascii="Times New Roman" w:hAnsi="Times New Roman"/>
          <w:sz w:val="28"/>
          <w:szCs w:val="28"/>
        </w:rPr>
        <w:t>тельств (ст. 15.15.10 КоАП РФ) - 8% от общего количества</w:t>
      </w:r>
      <w:r w:rsidRPr="00491353">
        <w:rPr>
          <w:rFonts w:ascii="Times New Roman" w:hAnsi="Times New Roman"/>
          <w:sz w:val="28"/>
          <w:szCs w:val="28"/>
        </w:rPr>
        <w:t xml:space="preserve">; </w:t>
      </w:r>
    </w:p>
    <w:p w:rsidR="0014169E" w:rsidRPr="00491353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491353">
        <w:rPr>
          <w:rFonts w:ascii="Times New Roman" w:hAnsi="Times New Roman"/>
          <w:sz w:val="28"/>
          <w:szCs w:val="28"/>
        </w:rPr>
        <w:t>- за нарушение порядка формирования государственного (муниципального) задания (ч. 1 ст. 15.15.15</w:t>
      </w:r>
      <w:r>
        <w:rPr>
          <w:rFonts w:ascii="Times New Roman" w:hAnsi="Times New Roman"/>
          <w:sz w:val="28"/>
          <w:szCs w:val="28"/>
        </w:rPr>
        <w:t xml:space="preserve"> КоАП РФ) - </w:t>
      </w:r>
      <w:r w:rsidRPr="00491353">
        <w:rPr>
          <w:rFonts w:ascii="Times New Roman" w:hAnsi="Times New Roman"/>
          <w:sz w:val="28"/>
          <w:szCs w:val="28"/>
        </w:rPr>
        <w:t>7% от общего количества</w:t>
      </w:r>
      <w:r w:rsidRPr="007552E2">
        <w:rPr>
          <w:rFonts w:ascii="Times New Roman" w:hAnsi="Times New Roman"/>
          <w:sz w:val="28"/>
          <w:szCs w:val="28"/>
        </w:rPr>
        <w:t>.</w:t>
      </w:r>
    </w:p>
    <w:p w:rsidR="0014169E" w:rsidRPr="00A90187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90187">
        <w:rPr>
          <w:rFonts w:ascii="Times New Roman" w:hAnsi="Times New Roman"/>
          <w:sz w:val="28"/>
          <w:szCs w:val="28"/>
        </w:rPr>
        <w:t>Среди основных трудностей, возникающих при составлении протоколов или препятствующих составлению протоколов об административных правонарушениях можно выделить:</w:t>
      </w:r>
    </w:p>
    <w:p w:rsidR="0014169E" w:rsidRPr="00A90187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90187">
        <w:rPr>
          <w:rFonts w:ascii="Times New Roman" w:hAnsi="Times New Roman"/>
          <w:sz w:val="28"/>
          <w:szCs w:val="28"/>
        </w:rPr>
        <w:t>1.Минимальную штатную численность контрольно-счетных органов, а также отсутствие юридического сопровождения реализации полномочий по составлению протоколов об административных правонарушениях. Недостаточный уровень правовой подготовки должностных лиц, осуществляющих административное производство, приводит к сложности квалификации административных правонарушений и установления виновного должностного лица.</w:t>
      </w:r>
    </w:p>
    <w:p w:rsidR="0014169E" w:rsidRPr="00A90187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90187">
        <w:rPr>
          <w:rFonts w:ascii="Times New Roman" w:hAnsi="Times New Roman"/>
          <w:sz w:val="28"/>
          <w:szCs w:val="28"/>
        </w:rPr>
        <w:t>2.Отстутсвие законодательного закрепления в ряде субъектов Российской Федерации полномочий по составлению протоколов об административных нарушениях должностными лицами контрольно-счетных органов муниципальных образований.</w:t>
      </w:r>
    </w:p>
    <w:p w:rsidR="0014169E" w:rsidRPr="00A90187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90187">
        <w:rPr>
          <w:rFonts w:ascii="Times New Roman" w:hAnsi="Times New Roman"/>
          <w:sz w:val="28"/>
          <w:szCs w:val="28"/>
        </w:rPr>
        <w:t>3.Короткие сроки привлечения к административной ответственности.</w:t>
      </w:r>
    </w:p>
    <w:p w:rsidR="0014169E" w:rsidRPr="00A90187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90187">
        <w:rPr>
          <w:rFonts w:ascii="Times New Roman" w:hAnsi="Times New Roman"/>
          <w:sz w:val="28"/>
          <w:szCs w:val="28"/>
        </w:rPr>
        <w:t>4.Отсутствие методических рекомендаций (стандартов)  по реализации должностными лицами контрольно-счетных органов муниципальных образований полномочий по составлению протоколов об административных правонарушениях.</w:t>
      </w:r>
    </w:p>
    <w:p w:rsidR="0014169E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90187">
        <w:rPr>
          <w:rFonts w:ascii="Times New Roman" w:hAnsi="Times New Roman"/>
          <w:sz w:val="28"/>
          <w:szCs w:val="28"/>
        </w:rPr>
        <w:t>5. Отсутствие единой с</w:t>
      </w:r>
      <w:r>
        <w:rPr>
          <w:rFonts w:ascii="Times New Roman" w:hAnsi="Times New Roman"/>
          <w:sz w:val="28"/>
          <w:szCs w:val="28"/>
        </w:rPr>
        <w:t>удебной</w:t>
      </w:r>
      <w:r w:rsidRPr="00A90187">
        <w:rPr>
          <w:rFonts w:ascii="Times New Roman" w:hAnsi="Times New Roman"/>
          <w:sz w:val="28"/>
          <w:szCs w:val="28"/>
        </w:rPr>
        <w:t xml:space="preserve"> практики при рассмотрении дел о привлечении к административной ответственности по аналогичным вопросам.</w:t>
      </w:r>
    </w:p>
    <w:p w:rsidR="0014169E" w:rsidRPr="00377FAE" w:rsidRDefault="0014169E" w:rsidP="00AE16FF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97725">
        <w:rPr>
          <w:rFonts w:ascii="Times New Roman" w:hAnsi="Times New Roman"/>
          <w:sz w:val="28"/>
          <w:szCs w:val="28"/>
        </w:rPr>
        <w:t xml:space="preserve">Вместе с тем, малая штатная численность, слабая методическая и материальная база, отсутствие подготовленных специалистов и соответствующего опыта у должностных лиц, осуществляющих полномочия по составлению протоколов об административных правонарушениях не </w:t>
      </w:r>
      <w:r w:rsidRPr="00C97725">
        <w:rPr>
          <w:rFonts w:ascii="Times New Roman" w:hAnsi="Times New Roman"/>
          <w:sz w:val="28"/>
          <w:szCs w:val="28"/>
        </w:rPr>
        <w:lastRenderedPageBreak/>
        <w:t>освобождает</w:t>
      </w:r>
      <w:r w:rsidRPr="00C97725">
        <w:rPr>
          <w:rFonts w:ascii="Times New Roman" w:hAnsi="Times New Roman"/>
          <w:i/>
          <w:sz w:val="28"/>
          <w:szCs w:val="28"/>
        </w:rPr>
        <w:t xml:space="preserve"> </w:t>
      </w:r>
      <w:r w:rsidRPr="00C97725">
        <w:rPr>
          <w:rFonts w:ascii="Times New Roman" w:hAnsi="Times New Roman"/>
          <w:sz w:val="28"/>
          <w:szCs w:val="28"/>
        </w:rPr>
        <w:t>контрольно-счетные органы от обязанности по исполнению возложенных на него полномочий по административному производству.</w:t>
      </w:r>
    </w:p>
    <w:p w:rsidR="0014169E" w:rsidRDefault="0014169E" w:rsidP="00AE16FF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832">
        <w:rPr>
          <w:rFonts w:ascii="Times New Roman" w:hAnsi="Times New Roman"/>
          <w:sz w:val="28"/>
          <w:szCs w:val="28"/>
        </w:rPr>
        <w:t>Проведенный анализ позволил сделать следующие выводы.</w:t>
      </w:r>
    </w:p>
    <w:p w:rsidR="0014169E" w:rsidRPr="00AD1BD3" w:rsidRDefault="0014169E" w:rsidP="00AE16FF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1BD3">
        <w:rPr>
          <w:rFonts w:ascii="Times New Roman" w:hAnsi="Times New Roman"/>
          <w:sz w:val="28"/>
          <w:szCs w:val="28"/>
        </w:rPr>
        <w:t xml:space="preserve"> </w:t>
      </w:r>
      <w:r w:rsidRPr="00041B8B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BD3">
        <w:rPr>
          <w:rFonts w:ascii="Times New Roman" w:hAnsi="Times New Roman"/>
          <w:sz w:val="28"/>
          <w:szCs w:val="28"/>
        </w:rPr>
        <w:t>% субъектов РФ законодательством субъекта</w:t>
      </w:r>
      <w:r>
        <w:rPr>
          <w:rFonts w:ascii="Times New Roman" w:hAnsi="Times New Roman"/>
          <w:sz w:val="28"/>
          <w:szCs w:val="28"/>
        </w:rPr>
        <w:t xml:space="preserve"> утверждены перечни должностных лиц муниципальных контрольно-счетных органов, которым </w:t>
      </w:r>
      <w:r w:rsidRPr="00AD1BD3">
        <w:rPr>
          <w:rFonts w:ascii="Times New Roman" w:hAnsi="Times New Roman"/>
          <w:sz w:val="28"/>
          <w:szCs w:val="28"/>
        </w:rPr>
        <w:t xml:space="preserve"> предоставлено право составлять протоколы об административных правонарушениях, предусмотренны</w:t>
      </w:r>
      <w:r>
        <w:rPr>
          <w:rFonts w:ascii="Times New Roman" w:hAnsi="Times New Roman"/>
          <w:sz w:val="28"/>
          <w:szCs w:val="28"/>
        </w:rPr>
        <w:t>е</w:t>
      </w:r>
      <w:r w:rsidRPr="00AD1BD3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.ст.</w:t>
      </w:r>
      <w:r w:rsidRPr="00AD1BD3">
        <w:rPr>
          <w:rFonts w:ascii="Times New Roman" w:hAnsi="Times New Roman"/>
          <w:sz w:val="28"/>
          <w:szCs w:val="28"/>
        </w:rPr>
        <w:t xml:space="preserve"> 5.21, 15.1, 15.11, 15.14-15.15.16, ч</w:t>
      </w:r>
      <w:r>
        <w:rPr>
          <w:rFonts w:ascii="Times New Roman" w:hAnsi="Times New Roman"/>
          <w:sz w:val="28"/>
          <w:szCs w:val="28"/>
        </w:rPr>
        <w:t>.</w:t>
      </w:r>
      <w:r w:rsidRPr="00AD1BD3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.</w:t>
      </w:r>
      <w:r w:rsidRPr="00AD1BD3">
        <w:rPr>
          <w:rFonts w:ascii="Times New Roman" w:hAnsi="Times New Roman"/>
          <w:sz w:val="28"/>
          <w:szCs w:val="28"/>
        </w:rPr>
        <w:t xml:space="preserve"> 19.4, ст</w:t>
      </w:r>
      <w:r>
        <w:rPr>
          <w:rFonts w:ascii="Times New Roman" w:hAnsi="Times New Roman"/>
          <w:sz w:val="28"/>
          <w:szCs w:val="28"/>
        </w:rPr>
        <w:t>.</w:t>
      </w:r>
      <w:r w:rsidRPr="00AD1BD3">
        <w:rPr>
          <w:rFonts w:ascii="Times New Roman" w:hAnsi="Times New Roman"/>
          <w:sz w:val="28"/>
          <w:szCs w:val="28"/>
        </w:rPr>
        <w:t xml:space="preserve"> 19.4.1, ч</w:t>
      </w:r>
      <w:r>
        <w:rPr>
          <w:rFonts w:ascii="Times New Roman" w:hAnsi="Times New Roman"/>
          <w:sz w:val="28"/>
          <w:szCs w:val="28"/>
        </w:rPr>
        <w:t>.</w:t>
      </w:r>
      <w:r w:rsidRPr="00AD1BD3">
        <w:rPr>
          <w:rFonts w:ascii="Times New Roman" w:hAnsi="Times New Roman"/>
          <w:sz w:val="28"/>
          <w:szCs w:val="28"/>
        </w:rPr>
        <w:t xml:space="preserve"> 20 и 20.1 ст</w:t>
      </w:r>
      <w:r>
        <w:rPr>
          <w:rFonts w:ascii="Times New Roman" w:hAnsi="Times New Roman"/>
          <w:sz w:val="28"/>
          <w:szCs w:val="28"/>
        </w:rPr>
        <w:t>.</w:t>
      </w:r>
      <w:r w:rsidRPr="00AD1BD3">
        <w:rPr>
          <w:rFonts w:ascii="Times New Roman" w:hAnsi="Times New Roman"/>
          <w:sz w:val="28"/>
          <w:szCs w:val="28"/>
        </w:rPr>
        <w:t xml:space="preserve"> 19.5,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1BD3">
        <w:rPr>
          <w:rFonts w:ascii="Times New Roman" w:hAnsi="Times New Roman"/>
          <w:sz w:val="28"/>
          <w:szCs w:val="28"/>
        </w:rPr>
        <w:t xml:space="preserve">19.6 и 19.7 КоАП РФ. </w:t>
      </w:r>
    </w:p>
    <w:p w:rsidR="0014169E" w:rsidRDefault="0014169E" w:rsidP="00AE16FF">
      <w:pPr>
        <w:pStyle w:val="af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D1BD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8</w:t>
      </w:r>
      <w:r w:rsidRPr="00AD1B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 муниципальных контрольно-счетных органов</w:t>
      </w:r>
      <w:r w:rsidRPr="00AD1BD3">
        <w:rPr>
          <w:rFonts w:ascii="Times New Roman" w:hAnsi="Times New Roman"/>
          <w:sz w:val="28"/>
          <w:szCs w:val="28"/>
        </w:rPr>
        <w:t xml:space="preserve"> практика по осуществлению производства по делам об административных правонарушениях отсутствует.</w:t>
      </w:r>
      <w:r>
        <w:rPr>
          <w:rFonts w:ascii="Times New Roman" w:hAnsi="Times New Roman"/>
          <w:sz w:val="28"/>
          <w:szCs w:val="28"/>
        </w:rPr>
        <w:t xml:space="preserve"> При этом большинство из них сообщили об отсутствии сложностей. Наиболее значимой причиной, препятствующей </w:t>
      </w:r>
      <w:r w:rsidRPr="00245E64">
        <w:rPr>
          <w:rFonts w:ascii="Times New Roman" w:hAnsi="Times New Roman"/>
          <w:sz w:val="28"/>
          <w:szCs w:val="28"/>
        </w:rPr>
        <w:t>составлению протоколов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(по оценке МКСО) является недостаточная </w:t>
      </w:r>
      <w:r w:rsidRPr="00245E64">
        <w:rPr>
          <w:rFonts w:ascii="Times New Roman" w:hAnsi="Times New Roman"/>
          <w:sz w:val="28"/>
          <w:szCs w:val="28"/>
        </w:rPr>
        <w:t>штатн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245E64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и отсутствие опыта в указанной сфере.</w:t>
      </w:r>
    </w:p>
    <w:p w:rsidR="0014169E" w:rsidRPr="009831C8" w:rsidRDefault="0014169E" w:rsidP="00AE16FF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9831C8">
        <w:rPr>
          <w:rFonts w:ascii="Times New Roman" w:hAnsi="Times New Roman"/>
          <w:sz w:val="28"/>
          <w:szCs w:val="28"/>
        </w:rPr>
        <w:t xml:space="preserve">По результатам обобщения опыта </w:t>
      </w:r>
      <w:r>
        <w:rPr>
          <w:rFonts w:ascii="Times New Roman" w:hAnsi="Times New Roman"/>
          <w:sz w:val="28"/>
          <w:szCs w:val="28"/>
        </w:rPr>
        <w:t xml:space="preserve">муниципальных контрольно-счетных органов </w:t>
      </w:r>
      <w:r w:rsidRPr="009831C8">
        <w:rPr>
          <w:rFonts w:ascii="Times New Roman" w:hAnsi="Times New Roman"/>
          <w:sz w:val="28"/>
          <w:szCs w:val="28"/>
        </w:rPr>
        <w:t xml:space="preserve">по осуществлению производства по делам об административных правонарушениях за 2016 год </w:t>
      </w:r>
      <w:r>
        <w:rPr>
          <w:rFonts w:ascii="Times New Roman" w:hAnsi="Times New Roman"/>
          <w:sz w:val="28"/>
          <w:szCs w:val="28"/>
        </w:rPr>
        <w:t>рекомендовано</w:t>
      </w:r>
      <w:r w:rsidRPr="009831C8">
        <w:rPr>
          <w:rFonts w:ascii="Times New Roman" w:hAnsi="Times New Roman"/>
          <w:sz w:val="28"/>
          <w:szCs w:val="28"/>
        </w:rPr>
        <w:t>:</w:t>
      </w:r>
    </w:p>
    <w:p w:rsidR="0014169E" w:rsidRPr="00D97179" w:rsidRDefault="0014169E" w:rsidP="00AE16F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Pr="00D97179">
        <w:rPr>
          <w:sz w:val="28"/>
          <w:szCs w:val="28"/>
          <w:lang w:eastAsia="en-US"/>
        </w:rPr>
        <w:t xml:space="preserve"> контрольно-счетным органам муниципальных образований утвердить методические  указания о порядке производства по делам об административных правонарушениях</w:t>
      </w:r>
      <w:r w:rsidRPr="00D97179">
        <w:rPr>
          <w:sz w:val="28"/>
          <w:szCs w:val="28"/>
        </w:rPr>
        <w:t xml:space="preserve"> должностными лицами контрольно-счетных органов муниципальных образований с учетом методических указаний, утвержденных Коллегией Счетной палаты РФ (про</w:t>
      </w:r>
      <w:r>
        <w:rPr>
          <w:sz w:val="28"/>
          <w:szCs w:val="28"/>
        </w:rPr>
        <w:t>токол от 19.10.2016 №53К(1128));</w:t>
      </w:r>
      <w:r w:rsidRPr="00D97179">
        <w:rPr>
          <w:sz w:val="28"/>
          <w:szCs w:val="28"/>
        </w:rPr>
        <w:t xml:space="preserve"> </w:t>
      </w:r>
    </w:p>
    <w:p w:rsidR="0014169E" w:rsidRPr="00D97179" w:rsidRDefault="0014169E" w:rsidP="00AE16F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179">
        <w:rPr>
          <w:sz w:val="28"/>
          <w:szCs w:val="28"/>
        </w:rPr>
        <w:t xml:space="preserve"> Советам </w:t>
      </w:r>
      <w:r>
        <w:rPr>
          <w:sz w:val="28"/>
          <w:szCs w:val="28"/>
        </w:rPr>
        <w:t>контрольно-счетных органов</w:t>
      </w:r>
      <w:r w:rsidRPr="00D97179">
        <w:rPr>
          <w:sz w:val="28"/>
          <w:szCs w:val="28"/>
        </w:rPr>
        <w:t xml:space="preserve"> субъектов РФ проводить обучающие семинары, направленные на формирование практики применения КоАП РФ, обмен опытом, систематизацию полученной информации для использования ее в дальнейшей работе органов</w:t>
      </w:r>
      <w:r>
        <w:rPr>
          <w:sz w:val="28"/>
          <w:szCs w:val="28"/>
        </w:rPr>
        <w:t xml:space="preserve"> внешнего финансового контроля;</w:t>
      </w:r>
    </w:p>
    <w:p w:rsidR="0014169E" w:rsidRPr="00D97179" w:rsidRDefault="0014169E" w:rsidP="00AE16F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17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контрольно-счетным органам</w:t>
      </w:r>
      <w:r w:rsidRPr="00D97179">
        <w:rPr>
          <w:sz w:val="28"/>
          <w:szCs w:val="28"/>
        </w:rPr>
        <w:t xml:space="preserve"> субъектов РФ при отсутствии утвержденного законом субъекта РФ перечня должностных лиц </w:t>
      </w:r>
      <w:r>
        <w:rPr>
          <w:sz w:val="28"/>
          <w:szCs w:val="28"/>
        </w:rPr>
        <w:t>муниципальных контрольно-счетных органов</w:t>
      </w:r>
      <w:r w:rsidRPr="00D97179">
        <w:rPr>
          <w:sz w:val="28"/>
          <w:szCs w:val="28"/>
        </w:rPr>
        <w:t>, которые вправе составлять протоколы об административных правонарушениях при осуществлении муниципального финансового контроля, обратиться в законодательный орган субъекта РФ с предложением о внесении соответствующих изменений в действующее законодательство.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 w:rsidRPr="00794EB6">
        <w:rPr>
          <w:sz w:val="28"/>
          <w:szCs w:val="28"/>
          <w:u w:val="single"/>
        </w:rPr>
        <w:t>Анализ практики осуществления контрольно-счетными органами муниципальных образований аудита в сфере закупок за 2016 год</w:t>
      </w:r>
      <w:r>
        <w:rPr>
          <w:sz w:val="28"/>
          <w:szCs w:val="28"/>
        </w:rPr>
        <w:t xml:space="preserve"> (п. 3.2 плана Комиссии).</w:t>
      </w:r>
    </w:p>
    <w:p w:rsidR="0014169E" w:rsidRDefault="0014169E" w:rsidP="00AE16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обобщены данные опросных листов о количестве проведенных в 2016 году муниципальными контрольно-счетными органами мероприятий по аудиту в сфере закупок (в т.ч. мероприятий с элементами аудита в сфере закупок), подготовлен  анализ типовых нарушений, выявляемых по результатам аудита, а также основных причин выявленных нарушений и недостатков.</w:t>
      </w:r>
    </w:p>
    <w:p w:rsidR="0014169E" w:rsidRDefault="0014169E" w:rsidP="00AE16FF">
      <w:pPr>
        <w:ind w:firstLine="708"/>
        <w:contextualSpacing/>
        <w:jc w:val="both"/>
        <w:rPr>
          <w:sz w:val="28"/>
          <w:szCs w:val="28"/>
        </w:rPr>
      </w:pPr>
      <w:r w:rsidRPr="00252FF0">
        <w:rPr>
          <w:sz w:val="28"/>
          <w:szCs w:val="28"/>
        </w:rPr>
        <w:lastRenderedPageBreak/>
        <w:t>В опросных лист</w:t>
      </w:r>
      <w:r w:rsidR="00252FF0" w:rsidRPr="00252FF0">
        <w:rPr>
          <w:sz w:val="28"/>
          <w:szCs w:val="28"/>
        </w:rPr>
        <w:t>ах</w:t>
      </w:r>
      <w:r w:rsidRPr="00252FF0">
        <w:rPr>
          <w:sz w:val="28"/>
          <w:szCs w:val="28"/>
        </w:rPr>
        <w:t xml:space="preserve"> контрольно-счетными органами </w:t>
      </w:r>
      <w:r w:rsidR="00252FF0" w:rsidRPr="00252FF0">
        <w:rPr>
          <w:sz w:val="28"/>
          <w:szCs w:val="28"/>
        </w:rPr>
        <w:t>отражена</w:t>
      </w:r>
      <w:r w:rsidRPr="00252FF0">
        <w:rPr>
          <w:sz w:val="28"/>
          <w:szCs w:val="28"/>
        </w:rPr>
        <w:t xml:space="preserve"> информация по 5410 проведенным в 2016</w:t>
      </w:r>
      <w:r w:rsidRPr="007A2832">
        <w:rPr>
          <w:sz w:val="28"/>
          <w:szCs w:val="28"/>
        </w:rPr>
        <w:t xml:space="preserve"> году муниципальными контрольно-счетными органами аудитам в сфере закупок. Сводная информация в разрезе федеральных округов представлена в таблице 2.</w:t>
      </w:r>
    </w:p>
    <w:p w:rsidR="0014169E" w:rsidRDefault="0014169E" w:rsidP="00AE16FF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2076"/>
        <w:gridCol w:w="1326"/>
        <w:gridCol w:w="1276"/>
        <w:gridCol w:w="1559"/>
      </w:tblGrid>
      <w:tr w:rsidR="0014169E" w:rsidRPr="00E348CB" w:rsidTr="005801A8">
        <w:trPr>
          <w:tblHeader/>
        </w:trPr>
        <w:tc>
          <w:tcPr>
            <w:tcW w:w="2235" w:type="dxa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Наименование федерального округа</w:t>
            </w:r>
          </w:p>
        </w:tc>
        <w:tc>
          <w:tcPr>
            <w:tcW w:w="1417" w:type="dxa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Кол-во МКСО по состоянию на 01.01.2017, ед</w:t>
            </w:r>
          </w:p>
        </w:tc>
        <w:tc>
          <w:tcPr>
            <w:tcW w:w="2076" w:type="dxa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Кол-во мероприятий по аудиту в сфере закупок (в т.ч. мероприятий с элементами аудита в сфере закупок), ед.</w:t>
            </w:r>
          </w:p>
        </w:tc>
        <w:tc>
          <w:tcPr>
            <w:tcW w:w="1326" w:type="dxa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Общее количество проверенных объектов, ед.</w:t>
            </w:r>
          </w:p>
        </w:tc>
        <w:tc>
          <w:tcPr>
            <w:tcW w:w="1276" w:type="dxa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Наличие стандартов по аудиту в сфере закупок, ед.</w:t>
            </w:r>
          </w:p>
        </w:tc>
        <w:tc>
          <w:tcPr>
            <w:tcW w:w="1559" w:type="dxa"/>
          </w:tcPr>
          <w:p w:rsidR="0014169E" w:rsidRPr="00D66C8B" w:rsidRDefault="0014169E" w:rsidP="005801A8">
            <w:pPr>
              <w:jc w:val="center"/>
              <w:rPr>
                <w:sz w:val="20"/>
                <w:szCs w:val="20"/>
              </w:rPr>
            </w:pPr>
            <w:r w:rsidRPr="00D66C8B">
              <w:rPr>
                <w:sz w:val="20"/>
                <w:szCs w:val="20"/>
              </w:rPr>
              <w:t>Наличие методических рекомендаций по аудиту в сфере закупок, ед.</w:t>
            </w:r>
          </w:p>
        </w:tc>
      </w:tr>
      <w:tr w:rsidR="0014169E" w:rsidTr="005801A8">
        <w:tc>
          <w:tcPr>
            <w:tcW w:w="2235" w:type="dxa"/>
          </w:tcPr>
          <w:p w:rsidR="0014169E" w:rsidRPr="00604416" w:rsidRDefault="0014169E" w:rsidP="005801A8">
            <w:pPr>
              <w:jc w:val="both"/>
            </w:pPr>
            <w:r>
              <w:t xml:space="preserve">Центральный </w:t>
            </w:r>
          </w:p>
        </w:tc>
        <w:tc>
          <w:tcPr>
            <w:tcW w:w="1417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559</w:t>
            </w:r>
          </w:p>
        </w:tc>
        <w:tc>
          <w:tcPr>
            <w:tcW w:w="20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1356</w:t>
            </w:r>
          </w:p>
        </w:tc>
        <w:tc>
          <w:tcPr>
            <w:tcW w:w="1326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2395</w:t>
            </w:r>
          </w:p>
        </w:tc>
        <w:tc>
          <w:tcPr>
            <w:tcW w:w="12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303</w:t>
            </w:r>
          </w:p>
        </w:tc>
        <w:tc>
          <w:tcPr>
            <w:tcW w:w="1559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111</w:t>
            </w:r>
          </w:p>
        </w:tc>
      </w:tr>
      <w:tr w:rsidR="0014169E" w:rsidTr="005801A8">
        <w:tc>
          <w:tcPr>
            <w:tcW w:w="2235" w:type="dxa"/>
          </w:tcPr>
          <w:p w:rsidR="0014169E" w:rsidRPr="00604416" w:rsidRDefault="0014169E" w:rsidP="005801A8">
            <w:pPr>
              <w:jc w:val="both"/>
            </w:pPr>
            <w:r>
              <w:t xml:space="preserve">Северо-Западный </w:t>
            </w:r>
          </w:p>
        </w:tc>
        <w:tc>
          <w:tcPr>
            <w:tcW w:w="1417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195</w:t>
            </w:r>
          </w:p>
        </w:tc>
        <w:tc>
          <w:tcPr>
            <w:tcW w:w="20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330</w:t>
            </w:r>
          </w:p>
        </w:tc>
        <w:tc>
          <w:tcPr>
            <w:tcW w:w="1326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739</w:t>
            </w:r>
          </w:p>
        </w:tc>
        <w:tc>
          <w:tcPr>
            <w:tcW w:w="12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60</w:t>
            </w:r>
          </w:p>
        </w:tc>
        <w:tc>
          <w:tcPr>
            <w:tcW w:w="1559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22</w:t>
            </w:r>
          </w:p>
        </w:tc>
      </w:tr>
      <w:tr w:rsidR="0014169E" w:rsidTr="005801A8">
        <w:tc>
          <w:tcPr>
            <w:tcW w:w="2235" w:type="dxa"/>
          </w:tcPr>
          <w:p w:rsidR="0014169E" w:rsidRPr="00604416" w:rsidRDefault="0014169E" w:rsidP="005801A8">
            <w:pPr>
              <w:jc w:val="both"/>
            </w:pPr>
            <w:r>
              <w:t xml:space="preserve">Южный </w:t>
            </w:r>
          </w:p>
        </w:tc>
        <w:tc>
          <w:tcPr>
            <w:tcW w:w="1417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172</w:t>
            </w:r>
          </w:p>
        </w:tc>
        <w:tc>
          <w:tcPr>
            <w:tcW w:w="20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595</w:t>
            </w:r>
          </w:p>
        </w:tc>
        <w:tc>
          <w:tcPr>
            <w:tcW w:w="1326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1282</w:t>
            </w:r>
          </w:p>
        </w:tc>
        <w:tc>
          <w:tcPr>
            <w:tcW w:w="12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63</w:t>
            </w:r>
          </w:p>
        </w:tc>
        <w:tc>
          <w:tcPr>
            <w:tcW w:w="1559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26</w:t>
            </w:r>
          </w:p>
        </w:tc>
      </w:tr>
      <w:tr w:rsidR="0014169E" w:rsidTr="005801A8">
        <w:tc>
          <w:tcPr>
            <w:tcW w:w="2235" w:type="dxa"/>
          </w:tcPr>
          <w:p w:rsidR="0014169E" w:rsidRPr="00604416" w:rsidRDefault="0014169E" w:rsidP="005801A8">
            <w:pPr>
              <w:jc w:val="both"/>
            </w:pPr>
            <w:r>
              <w:t xml:space="preserve">Северо-Кавказский </w:t>
            </w:r>
          </w:p>
        </w:tc>
        <w:tc>
          <w:tcPr>
            <w:tcW w:w="1417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130</w:t>
            </w:r>
          </w:p>
        </w:tc>
        <w:tc>
          <w:tcPr>
            <w:tcW w:w="20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653</w:t>
            </w:r>
          </w:p>
        </w:tc>
        <w:tc>
          <w:tcPr>
            <w:tcW w:w="1326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1005</w:t>
            </w:r>
          </w:p>
        </w:tc>
        <w:tc>
          <w:tcPr>
            <w:tcW w:w="12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63</w:t>
            </w:r>
          </w:p>
        </w:tc>
        <w:tc>
          <w:tcPr>
            <w:tcW w:w="1559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32</w:t>
            </w:r>
          </w:p>
        </w:tc>
      </w:tr>
      <w:tr w:rsidR="0014169E" w:rsidTr="005801A8">
        <w:tc>
          <w:tcPr>
            <w:tcW w:w="2235" w:type="dxa"/>
          </w:tcPr>
          <w:p w:rsidR="0014169E" w:rsidRPr="00604416" w:rsidRDefault="0014169E" w:rsidP="005801A8">
            <w:pPr>
              <w:jc w:val="both"/>
            </w:pPr>
            <w:r>
              <w:t xml:space="preserve">Приволжский </w:t>
            </w:r>
          </w:p>
        </w:tc>
        <w:tc>
          <w:tcPr>
            <w:tcW w:w="1417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458</w:t>
            </w:r>
          </w:p>
        </w:tc>
        <w:tc>
          <w:tcPr>
            <w:tcW w:w="20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746</w:t>
            </w:r>
          </w:p>
        </w:tc>
        <w:tc>
          <w:tcPr>
            <w:tcW w:w="1326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1224</w:t>
            </w:r>
          </w:p>
        </w:tc>
        <w:tc>
          <w:tcPr>
            <w:tcW w:w="12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152</w:t>
            </w:r>
          </w:p>
        </w:tc>
        <w:tc>
          <w:tcPr>
            <w:tcW w:w="1559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51</w:t>
            </w:r>
          </w:p>
        </w:tc>
      </w:tr>
      <w:tr w:rsidR="0014169E" w:rsidTr="005801A8">
        <w:tc>
          <w:tcPr>
            <w:tcW w:w="2235" w:type="dxa"/>
          </w:tcPr>
          <w:p w:rsidR="0014169E" w:rsidRPr="00604416" w:rsidRDefault="0014169E" w:rsidP="005801A8">
            <w:pPr>
              <w:jc w:val="both"/>
            </w:pPr>
            <w:r>
              <w:t xml:space="preserve">Уральский </w:t>
            </w:r>
          </w:p>
        </w:tc>
        <w:tc>
          <w:tcPr>
            <w:tcW w:w="1417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196</w:t>
            </w:r>
          </w:p>
        </w:tc>
        <w:tc>
          <w:tcPr>
            <w:tcW w:w="20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579</w:t>
            </w:r>
          </w:p>
        </w:tc>
        <w:tc>
          <w:tcPr>
            <w:tcW w:w="1326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868</w:t>
            </w:r>
          </w:p>
        </w:tc>
        <w:tc>
          <w:tcPr>
            <w:tcW w:w="12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83</w:t>
            </w:r>
          </w:p>
        </w:tc>
        <w:tc>
          <w:tcPr>
            <w:tcW w:w="1559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34</w:t>
            </w:r>
          </w:p>
        </w:tc>
      </w:tr>
      <w:tr w:rsidR="0014169E" w:rsidTr="005801A8">
        <w:tc>
          <w:tcPr>
            <w:tcW w:w="2235" w:type="dxa"/>
          </w:tcPr>
          <w:p w:rsidR="0014169E" w:rsidRDefault="0014169E" w:rsidP="005801A8">
            <w:pPr>
              <w:jc w:val="both"/>
            </w:pPr>
            <w:r>
              <w:t xml:space="preserve">Сибирский </w:t>
            </w:r>
          </w:p>
        </w:tc>
        <w:tc>
          <w:tcPr>
            <w:tcW w:w="1417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328</w:t>
            </w:r>
          </w:p>
        </w:tc>
        <w:tc>
          <w:tcPr>
            <w:tcW w:w="20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727</w:t>
            </w:r>
          </w:p>
        </w:tc>
        <w:tc>
          <w:tcPr>
            <w:tcW w:w="1326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1079</w:t>
            </w:r>
          </w:p>
        </w:tc>
        <w:tc>
          <w:tcPr>
            <w:tcW w:w="12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127</w:t>
            </w:r>
          </w:p>
        </w:tc>
        <w:tc>
          <w:tcPr>
            <w:tcW w:w="1559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85</w:t>
            </w:r>
          </w:p>
        </w:tc>
      </w:tr>
      <w:tr w:rsidR="0014169E" w:rsidTr="005801A8">
        <w:tc>
          <w:tcPr>
            <w:tcW w:w="2235" w:type="dxa"/>
          </w:tcPr>
          <w:p w:rsidR="0014169E" w:rsidRDefault="0014169E" w:rsidP="005801A8">
            <w:pPr>
              <w:jc w:val="both"/>
            </w:pPr>
            <w:r>
              <w:t xml:space="preserve">Дальневосточный </w:t>
            </w:r>
          </w:p>
        </w:tc>
        <w:tc>
          <w:tcPr>
            <w:tcW w:w="1417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178</w:t>
            </w:r>
          </w:p>
        </w:tc>
        <w:tc>
          <w:tcPr>
            <w:tcW w:w="20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424</w:t>
            </w:r>
          </w:p>
        </w:tc>
        <w:tc>
          <w:tcPr>
            <w:tcW w:w="1326" w:type="dxa"/>
            <w:vAlign w:val="center"/>
          </w:tcPr>
          <w:p w:rsidR="0014169E" w:rsidRPr="00885870" w:rsidRDefault="0014169E" w:rsidP="005801A8">
            <w:pPr>
              <w:jc w:val="center"/>
            </w:pPr>
            <w:r>
              <w:t>616</w:t>
            </w:r>
          </w:p>
        </w:tc>
        <w:tc>
          <w:tcPr>
            <w:tcW w:w="1276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62</w:t>
            </w:r>
          </w:p>
        </w:tc>
        <w:tc>
          <w:tcPr>
            <w:tcW w:w="1559" w:type="dxa"/>
            <w:vAlign w:val="center"/>
          </w:tcPr>
          <w:p w:rsidR="0014169E" w:rsidRPr="00885870" w:rsidRDefault="0014169E" w:rsidP="005801A8">
            <w:pPr>
              <w:jc w:val="center"/>
            </w:pPr>
            <w:r w:rsidRPr="00885870">
              <w:t>24</w:t>
            </w:r>
          </w:p>
        </w:tc>
      </w:tr>
      <w:tr w:rsidR="0014169E" w:rsidTr="005801A8">
        <w:tc>
          <w:tcPr>
            <w:tcW w:w="2235" w:type="dxa"/>
          </w:tcPr>
          <w:p w:rsidR="0014169E" w:rsidRPr="00D66C8B" w:rsidRDefault="0014169E" w:rsidP="005801A8">
            <w:pPr>
              <w:jc w:val="both"/>
              <w:rPr>
                <w:b/>
              </w:rPr>
            </w:pPr>
            <w:r w:rsidRPr="00D66C8B">
              <w:rPr>
                <w:b/>
              </w:rPr>
              <w:t>ВСЕГО</w:t>
            </w:r>
          </w:p>
        </w:tc>
        <w:tc>
          <w:tcPr>
            <w:tcW w:w="1417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2216</w:t>
            </w:r>
          </w:p>
        </w:tc>
        <w:tc>
          <w:tcPr>
            <w:tcW w:w="2076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5410</w:t>
            </w:r>
          </w:p>
        </w:tc>
        <w:tc>
          <w:tcPr>
            <w:tcW w:w="1326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9208</w:t>
            </w:r>
          </w:p>
        </w:tc>
        <w:tc>
          <w:tcPr>
            <w:tcW w:w="1276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913</w:t>
            </w:r>
          </w:p>
        </w:tc>
        <w:tc>
          <w:tcPr>
            <w:tcW w:w="1559" w:type="dxa"/>
            <w:vAlign w:val="center"/>
          </w:tcPr>
          <w:p w:rsidR="0014169E" w:rsidRPr="00D66C8B" w:rsidRDefault="0014169E" w:rsidP="005801A8">
            <w:pPr>
              <w:jc w:val="center"/>
              <w:rPr>
                <w:b/>
              </w:rPr>
            </w:pPr>
            <w:r w:rsidRPr="00D66C8B">
              <w:rPr>
                <w:b/>
              </w:rPr>
              <w:t>385</w:t>
            </w:r>
          </w:p>
        </w:tc>
      </w:tr>
    </w:tbl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</w:p>
    <w:p w:rsidR="00255265" w:rsidRPr="007A2832" w:rsidRDefault="00255265" w:rsidP="00AE16FF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Полученная информация свидетельствует о недостаточной работе МКСО (либо ее отсутствии) в ряде субъектов РФ по осуществлению аудита в сфере закупок.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По Российской</w:t>
      </w:r>
      <w:r>
        <w:rPr>
          <w:sz w:val="28"/>
          <w:szCs w:val="28"/>
        </w:rPr>
        <w:t xml:space="preserve"> Федерации в среднем на один МКСО проведено 2,4 мероприятия по аудиту закупок.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уровне среднероссийского сложился показатель </w:t>
      </w:r>
      <w:r w:rsidRPr="0035706E">
        <w:rPr>
          <w:sz w:val="28"/>
          <w:szCs w:val="28"/>
        </w:rPr>
        <w:t>в Даль</w:t>
      </w:r>
      <w:r>
        <w:rPr>
          <w:sz w:val="28"/>
          <w:szCs w:val="28"/>
        </w:rPr>
        <w:t>невосточном и</w:t>
      </w:r>
      <w:r w:rsidRPr="0035706E">
        <w:rPr>
          <w:sz w:val="28"/>
          <w:szCs w:val="28"/>
        </w:rPr>
        <w:t xml:space="preserve"> Центральном феде</w:t>
      </w:r>
      <w:r>
        <w:rPr>
          <w:sz w:val="28"/>
          <w:szCs w:val="28"/>
        </w:rPr>
        <w:t>ральных</w:t>
      </w:r>
      <w:r w:rsidRPr="0035706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ах.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5D2E">
        <w:rPr>
          <w:sz w:val="28"/>
          <w:szCs w:val="28"/>
        </w:rPr>
        <w:t>иже среднероссийского</w:t>
      </w:r>
      <w:r>
        <w:rPr>
          <w:sz w:val="28"/>
          <w:szCs w:val="28"/>
        </w:rPr>
        <w:t xml:space="preserve"> </w:t>
      </w:r>
      <w:r w:rsidRPr="00FD5D2E">
        <w:rPr>
          <w:sz w:val="28"/>
          <w:szCs w:val="28"/>
        </w:rPr>
        <w:t>в Сибирском федеральном округе – 2,2 мероприятия</w:t>
      </w:r>
      <w:r>
        <w:rPr>
          <w:sz w:val="28"/>
          <w:szCs w:val="28"/>
        </w:rPr>
        <w:t xml:space="preserve">, </w:t>
      </w:r>
      <w:r w:rsidRPr="00FD5D2E">
        <w:rPr>
          <w:sz w:val="28"/>
          <w:szCs w:val="28"/>
        </w:rPr>
        <w:t>в Северо-Западном федеральном округе – 1,7 мероприятия</w:t>
      </w:r>
      <w:r>
        <w:rPr>
          <w:sz w:val="28"/>
          <w:szCs w:val="28"/>
        </w:rPr>
        <w:t xml:space="preserve"> и </w:t>
      </w:r>
      <w:r w:rsidRPr="00FD5D2E">
        <w:rPr>
          <w:sz w:val="28"/>
          <w:szCs w:val="28"/>
        </w:rPr>
        <w:t>в Приволжском федеральном округе – 1,6 мероприятия.</w:t>
      </w:r>
    </w:p>
    <w:p w:rsidR="0014169E" w:rsidRPr="007A2832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среднероссийского </w:t>
      </w:r>
      <w:r w:rsidRPr="00FD5D2E">
        <w:rPr>
          <w:sz w:val="28"/>
          <w:szCs w:val="28"/>
        </w:rPr>
        <w:t>в Северо-Кавказском фед</w:t>
      </w:r>
      <w:r>
        <w:rPr>
          <w:sz w:val="28"/>
          <w:szCs w:val="28"/>
        </w:rPr>
        <w:t xml:space="preserve">еральном округе – 5 мероприятий, </w:t>
      </w:r>
      <w:r w:rsidRPr="00FD5D2E">
        <w:rPr>
          <w:sz w:val="28"/>
          <w:szCs w:val="28"/>
        </w:rPr>
        <w:t>в Южном федеральном округе – 3,5 мероприятия</w:t>
      </w:r>
      <w:r>
        <w:rPr>
          <w:sz w:val="28"/>
          <w:szCs w:val="28"/>
        </w:rPr>
        <w:t xml:space="preserve"> и </w:t>
      </w:r>
      <w:r w:rsidRPr="00FD5D2E">
        <w:rPr>
          <w:sz w:val="28"/>
          <w:szCs w:val="28"/>
        </w:rPr>
        <w:t xml:space="preserve">в Уральском </w:t>
      </w:r>
      <w:r w:rsidRPr="007A2832">
        <w:rPr>
          <w:sz w:val="28"/>
          <w:szCs w:val="28"/>
        </w:rPr>
        <w:t>федеральном округе – 3 мероприятия.</w:t>
      </w:r>
    </w:p>
    <w:p w:rsidR="0014169E" w:rsidRPr="0026114D" w:rsidRDefault="0014169E" w:rsidP="00AE16FF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Опрос показывает, что проведение аудита закупок не обеспечивается достаточной методологической поддержкой. В настоящее время  соответствующие стандарты внешнего финансового контроля приняты только в 41% муниципальных контрольно-счетных органов. Методические рекомендации по вопросам аудита</w:t>
      </w:r>
      <w:r>
        <w:rPr>
          <w:sz w:val="28"/>
          <w:szCs w:val="28"/>
        </w:rPr>
        <w:t xml:space="preserve"> в сфере закупок имеются в </w:t>
      </w:r>
      <w:r w:rsidRPr="0026114D">
        <w:rPr>
          <w:sz w:val="28"/>
          <w:szCs w:val="28"/>
        </w:rPr>
        <w:t xml:space="preserve">17% </w:t>
      </w:r>
      <w:r>
        <w:rPr>
          <w:sz w:val="28"/>
          <w:szCs w:val="28"/>
        </w:rPr>
        <w:t>муниципальных контрольно-счетных органов</w:t>
      </w:r>
      <w:r w:rsidRPr="0026114D">
        <w:rPr>
          <w:sz w:val="28"/>
          <w:szCs w:val="28"/>
        </w:rPr>
        <w:t xml:space="preserve">. 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Наименее обеспеченными </w:t>
      </w:r>
      <w:r w:rsidRPr="00CF3A66">
        <w:rPr>
          <w:sz w:val="28"/>
          <w:szCs w:val="28"/>
        </w:rPr>
        <w:t xml:space="preserve">стандартами и методическими рекомендациями являются </w:t>
      </w:r>
      <w:r>
        <w:rPr>
          <w:sz w:val="28"/>
          <w:szCs w:val="28"/>
        </w:rPr>
        <w:t>муниципальные контрольно-счетные органы</w:t>
      </w:r>
      <w:r w:rsidRPr="00CF3A66">
        <w:rPr>
          <w:sz w:val="28"/>
          <w:szCs w:val="28"/>
        </w:rPr>
        <w:t xml:space="preserve"> Северо-Западного, Приволжского и Дальневосточного федеральных округов. 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 в сфере закупок проводится как отдельным мероприятием, так и в составе контрольных мероприятий путем включения отдельных вопросов в программу мероприятия. Как показывают данные опроса, в среднем в рамках одного мероприятия по аудиту проверено по два заказчика.  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муниципальными контрольно-счетными органами за 2016 год выявлено 38526 нарушений в сфере закупок на общую сумму 14593 млн. рублей. На одном объекте в среднем выявлено не более четырех нарушений. </w:t>
      </w:r>
    </w:p>
    <w:p w:rsidR="0014169E" w:rsidRPr="007A2832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количестве и сумме выявленных нарушений по федеральным округам представлена на </w:t>
      </w:r>
      <w:r w:rsidRPr="007A2832">
        <w:rPr>
          <w:sz w:val="28"/>
          <w:szCs w:val="28"/>
        </w:rPr>
        <w:t>диаграмме (рис.6).</w:t>
      </w:r>
    </w:p>
    <w:p w:rsidR="0014169E" w:rsidRDefault="00FF6144" w:rsidP="00AE16FF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30" type="#_x0000_t75" style="width:464.25pt;height:249pt;visibility:visible">
            <v:imagedata r:id="rId14" o:title=""/>
          </v:shape>
        </w:pict>
      </w:r>
    </w:p>
    <w:p w:rsidR="0014169E" w:rsidRDefault="0014169E" w:rsidP="00AE16FF">
      <w:pPr>
        <w:contextualSpacing/>
        <w:jc w:val="center"/>
        <w:rPr>
          <w:sz w:val="28"/>
          <w:szCs w:val="28"/>
        </w:rPr>
      </w:pPr>
      <w:r w:rsidRPr="007A2832">
        <w:rPr>
          <w:sz w:val="28"/>
          <w:szCs w:val="28"/>
        </w:rPr>
        <w:t>Рис.6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типовых нарушений в сфере закупок показал, что наибольшее количество нарушений, выявляемых муниципальными контрольно-счетными органами, связано с невыполнением требований законодательства при заключении и исполнении муниципальными заказчиками контрактов - 56,8%, наименьшее - с несоблюдением требований законодательства при проведении  конкурентных процедур – в среднем 15,5%</w:t>
      </w:r>
      <w:r w:rsidRPr="00CF3A66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нарушений, возникающих при планировании процедур муниципальными заказчиками, составляет 27,7% от общего числа выявляемых нарушений.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3A66">
        <w:rPr>
          <w:sz w:val="28"/>
          <w:szCs w:val="28"/>
        </w:rPr>
        <w:t>одобное соотношение может свидетельствовать о необхо</w:t>
      </w:r>
      <w:r>
        <w:rPr>
          <w:sz w:val="28"/>
          <w:szCs w:val="28"/>
        </w:rPr>
        <w:t xml:space="preserve">димости повышения квалификации </w:t>
      </w:r>
      <w:r w:rsidRPr="00CF3A66">
        <w:rPr>
          <w:sz w:val="28"/>
          <w:szCs w:val="28"/>
        </w:rPr>
        <w:t xml:space="preserve">проверяющих специалистов </w:t>
      </w:r>
      <w:r>
        <w:rPr>
          <w:sz w:val="28"/>
          <w:szCs w:val="28"/>
        </w:rPr>
        <w:t>муниципальных контрольно-счетных органов</w:t>
      </w:r>
      <w:r w:rsidRPr="00547696">
        <w:rPr>
          <w:sz w:val="28"/>
          <w:szCs w:val="28"/>
        </w:rPr>
        <w:t xml:space="preserve"> в сфере закупок, так как проведение конкурентных процедур является наиболее сложным для оценки этапом закупочной деятельности.</w:t>
      </w:r>
    </w:p>
    <w:p w:rsidR="00D629E7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Важным вопросом является применение контрольно-счетными органами мер реагирования на выявленные нарушения, своевременного направления информации в контрольные органы в сфере закупок для привлечения к административной ответственности, выдачи предписаний об отмене результатов закупок (при наличии оснований) и т.д.</w:t>
      </w:r>
      <w:r w:rsidRPr="0006320F">
        <w:rPr>
          <w:sz w:val="28"/>
          <w:szCs w:val="28"/>
        </w:rPr>
        <w:t xml:space="preserve"> 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контроля по итогам работы МКСО в 2016 году возбуждено 363 дела об административных правонарушениях, при этом доля данных дел об административных правонарушениях не превышает 1% от общего количества выявленных муниципальными контрольно-счетными органами нарушений. </w:t>
      </w:r>
      <w:r>
        <w:rPr>
          <w:sz w:val="28"/>
          <w:szCs w:val="28"/>
        </w:rPr>
        <w:lastRenderedPageBreak/>
        <w:t>Необходимо отметить, что наличие административной практики имеется только в муниципальных контрольно-счетных органах 38 субъектов РФ.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муниципальными контрольно-счетными органами выдано 2966 представлений об устранении нарушений, то есть в среднем только на каждое второе (54,8%) проведенное мероприятие по аудиту закупок. </w:t>
      </w:r>
    </w:p>
    <w:p w:rsidR="00255265" w:rsidRPr="007A2832" w:rsidRDefault="00255265" w:rsidP="00255265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Муниципальные контрольно-счетные органы выделяют следующие основные причины выявляемых нарушений и недостатков:</w:t>
      </w:r>
      <w:r w:rsidRPr="007A2832">
        <w:rPr>
          <w:sz w:val="28"/>
          <w:szCs w:val="28"/>
        </w:rPr>
        <w:tab/>
      </w:r>
    </w:p>
    <w:p w:rsidR="00255265" w:rsidRPr="007A2832" w:rsidRDefault="00255265" w:rsidP="00255265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низкий уровень квалификации и недостаточный опыт работы  контрактных управляющих и сотрудников контрактных служб, в том числе связанный с частой сменой специалистов;</w:t>
      </w:r>
    </w:p>
    <w:p w:rsidR="00255265" w:rsidRPr="007A2832" w:rsidRDefault="00255265" w:rsidP="00255265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низкий уровень исполнительской дисциплины должностных лиц;</w:t>
      </w:r>
    </w:p>
    <w:p w:rsidR="00255265" w:rsidRPr="007A2832" w:rsidRDefault="00255265" w:rsidP="00255265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отсутствие либо низкая эффективность системы внутреннего финансового контроля в сфере закупок;</w:t>
      </w:r>
    </w:p>
    <w:p w:rsidR="00255265" w:rsidRPr="007A2832" w:rsidRDefault="00255265" w:rsidP="00255265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некачественное планирование закупочной деятельности;</w:t>
      </w:r>
    </w:p>
    <w:p w:rsidR="00255265" w:rsidRPr="007A2832" w:rsidRDefault="00255265" w:rsidP="00255265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отсутствие со стороны главных распорядителей бюджетных средств достаточной разъяснительной и методологической помощи в отношении подведомственных заказчиков, в том числе юридического сопровождения закупки, мониторинга изменений законодательства о контрактной системе и правоприменительной практики.</w:t>
      </w:r>
    </w:p>
    <w:p w:rsidR="0014169E" w:rsidRPr="007A2832" w:rsidRDefault="0014169E" w:rsidP="00AE16FF">
      <w:pPr>
        <w:jc w:val="both"/>
        <w:rPr>
          <w:sz w:val="28"/>
          <w:szCs w:val="28"/>
        </w:rPr>
      </w:pPr>
      <w:r w:rsidRPr="007A2832">
        <w:rPr>
          <w:sz w:val="28"/>
          <w:szCs w:val="28"/>
        </w:rPr>
        <w:tab/>
      </w:r>
      <w:r w:rsidR="00BC3D12" w:rsidRPr="007A2832">
        <w:rPr>
          <w:sz w:val="28"/>
          <w:szCs w:val="28"/>
        </w:rPr>
        <w:t>П</w:t>
      </w:r>
      <w:r w:rsidRPr="007A2832">
        <w:rPr>
          <w:sz w:val="28"/>
          <w:szCs w:val="28"/>
        </w:rPr>
        <w:t>о результатам анализа практики осуществления муниципальными контрольно-счетными органами аудита в сфере закупок за 2016 год</w:t>
      </w:r>
      <w:r w:rsidR="00BC3D12" w:rsidRPr="007A2832">
        <w:rPr>
          <w:sz w:val="28"/>
          <w:szCs w:val="28"/>
        </w:rPr>
        <w:t xml:space="preserve"> Комиссией подготовлены следующие предложения</w:t>
      </w:r>
      <w:r w:rsidRPr="007A2832">
        <w:rPr>
          <w:sz w:val="28"/>
          <w:szCs w:val="28"/>
        </w:rPr>
        <w:t>: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 w:rsidRPr="007A2832">
        <w:rPr>
          <w:sz w:val="28"/>
          <w:szCs w:val="28"/>
        </w:rPr>
        <w:t>- муниципальным контрольно-счетным органам</w:t>
      </w:r>
      <w:r w:rsidRPr="00F67DCB">
        <w:rPr>
          <w:sz w:val="28"/>
          <w:szCs w:val="28"/>
        </w:rPr>
        <w:t xml:space="preserve"> обратить внимание на недостаточную работу по осуществлению  аудита закупок и обязательность исполнения полномочий</w:t>
      </w:r>
      <w:r>
        <w:rPr>
          <w:sz w:val="28"/>
          <w:szCs w:val="28"/>
        </w:rPr>
        <w:t>, установленных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4169E" w:rsidRDefault="0014169E" w:rsidP="00AE16F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97179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>муниципальным контрольно-счетным органам</w:t>
      </w:r>
      <w:r w:rsidRPr="00D9717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методические указания и (или) стандарт по проведению аудита в сфере закупок, взяв за основу Стандарт внешнего государственного аудита (контроля) «Аудит в сфере закупок, товаров, работ и услуг, осуществляемых объектами аудита (контроля)», утвержденный Коллегией СП РФ (протокол от 21.04.2016 №17К (1092) и методические</w:t>
      </w:r>
      <w:r w:rsidRPr="00D97179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рекомендации, утвержденные</w:t>
      </w:r>
      <w:r w:rsidRPr="00D97179">
        <w:rPr>
          <w:sz w:val="28"/>
          <w:szCs w:val="28"/>
        </w:rPr>
        <w:t xml:space="preserve"> Коллегией С</w:t>
      </w:r>
      <w:r>
        <w:rPr>
          <w:sz w:val="28"/>
          <w:szCs w:val="28"/>
        </w:rPr>
        <w:t>четной палаты РФ (протокол от 30.06.2017 №39К(1184));</w:t>
      </w:r>
    </w:p>
    <w:p w:rsidR="0014169E" w:rsidRDefault="0014169E" w:rsidP="00AE16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контрольно-счетным органам субъектов РФ провести работу по организации повышения квалификации специалистов МКСО по вопросам законодательства о контрактной системе, обеспечивать методологическое сопровождение муниципальных КСО по данному направлению.</w:t>
      </w:r>
    </w:p>
    <w:p w:rsidR="0014169E" w:rsidRDefault="0014169E" w:rsidP="00AE16FF"/>
    <w:p w:rsidR="0014169E" w:rsidRPr="007A2832" w:rsidRDefault="0014169E" w:rsidP="006135D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>В целях совершенствования и повышения результативности работы контрольно-счетных органов муниципальных образований субъектов Российской Федерации и с учетом проведенных мониторингов и анализов Комиссия в 2018 году продолжит работу по сбору, обобщению и анализу информации о деятельности контрольно-счетных органов.</w:t>
      </w:r>
    </w:p>
    <w:p w:rsidR="0014169E" w:rsidRPr="007A2832" w:rsidRDefault="0014169E" w:rsidP="006135D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lastRenderedPageBreak/>
        <w:t xml:space="preserve"> Для унификации подходов к анализу деятельности контрольно-счетных органов субъектов Российской Федерации и муниципальных образований планируется уточнение отчетных аналитических форм с учетом перечня показателей деятельности контрольно-счетного органа субъекта Российской Федерации, разработанного информационно-аналитической комиссией Совета. </w:t>
      </w:r>
    </w:p>
    <w:p w:rsidR="0014169E" w:rsidRPr="007A2832" w:rsidRDefault="0014169E" w:rsidP="006135D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Для устранения возникших проблем при сборе информации, Комиссия полагает необходимым  установление контрольных соотношений для проверки корректности внесения данных на этапе заполнения отчетных аналитических форм, а также  утверждение правил их заполнения. </w:t>
      </w:r>
    </w:p>
    <w:p w:rsidR="0014169E" w:rsidRPr="007A2832" w:rsidRDefault="0014169E" w:rsidP="006135D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Учитывая, что основной целью проведения  оценки деятельности контрольно-счетных органов является выработка рекомендаций по повышению эффективности выполнения возложенных на контрольно-счетные органы полномочий, Комиссия планирует проведение в 2018 году мероприятия по анализу выполнения контрольно-счетными органами муниципальных образований полномочий по осуществлению внешнего муниципального финансового контроля.  </w:t>
      </w:r>
    </w:p>
    <w:p w:rsidR="0014169E" w:rsidRDefault="0014169E" w:rsidP="006135D0">
      <w:pPr>
        <w:ind w:firstLine="709"/>
        <w:jc w:val="both"/>
        <w:rPr>
          <w:sz w:val="28"/>
          <w:szCs w:val="28"/>
        </w:rPr>
      </w:pPr>
      <w:r w:rsidRPr="007A2832">
        <w:rPr>
          <w:sz w:val="28"/>
          <w:szCs w:val="28"/>
        </w:rPr>
        <w:t xml:space="preserve">В связи с выявленными проблемами в применении классификатора нарушений совместно с комиссией Совета </w:t>
      </w:r>
      <w:r w:rsidRPr="007A2832">
        <w:rPr>
          <w:bCs/>
          <w:sz w:val="28"/>
          <w:szCs w:val="28"/>
        </w:rPr>
        <w:t>по методологии</w:t>
      </w:r>
      <w:r w:rsidRPr="007A2832">
        <w:rPr>
          <w:sz w:val="28"/>
          <w:szCs w:val="28"/>
        </w:rPr>
        <w:t xml:space="preserve"> планируется обобщить и проанализировать практику отражения итогов деятельности контрольно-счетных органов муниципальных образований в соответствии с Классификатором нарушений, выявляемых в ходе внешнего государственного аудита (контроля).</w:t>
      </w:r>
      <w:r w:rsidRPr="007D6FE4">
        <w:rPr>
          <w:sz w:val="28"/>
          <w:szCs w:val="28"/>
        </w:rPr>
        <w:t xml:space="preserve">  </w:t>
      </w:r>
    </w:p>
    <w:p w:rsidR="0014169E" w:rsidRDefault="0014169E" w:rsidP="003E45AB">
      <w:pPr>
        <w:ind w:firstLine="709"/>
        <w:jc w:val="both"/>
        <w:rPr>
          <w:sz w:val="28"/>
          <w:szCs w:val="28"/>
        </w:rPr>
      </w:pPr>
      <w:r w:rsidRPr="007D6FE4">
        <w:rPr>
          <w:sz w:val="28"/>
          <w:szCs w:val="28"/>
        </w:rPr>
        <w:t xml:space="preserve">  </w:t>
      </w:r>
    </w:p>
    <w:p w:rsidR="0014169E" w:rsidRDefault="0014169E" w:rsidP="003E45AB">
      <w:pPr>
        <w:ind w:firstLine="709"/>
        <w:jc w:val="both"/>
        <w:rPr>
          <w:sz w:val="28"/>
          <w:szCs w:val="28"/>
        </w:rPr>
      </w:pPr>
    </w:p>
    <w:sectPr w:rsidR="0014169E" w:rsidSect="00355466">
      <w:footerReference w:type="even" r:id="rId15"/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E4" w:rsidRDefault="00A30DE4">
      <w:r>
        <w:separator/>
      </w:r>
    </w:p>
  </w:endnote>
  <w:endnote w:type="continuationSeparator" w:id="0">
    <w:p w:rsidR="00A30DE4" w:rsidRDefault="00A3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AB" w:rsidRDefault="00A05838" w:rsidP="00B252D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C0EA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C0EAB" w:rsidRDefault="004C0EAB" w:rsidP="00307F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AB" w:rsidRDefault="00A05838" w:rsidP="00B252D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C0EA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F6144">
      <w:rPr>
        <w:rStyle w:val="ae"/>
        <w:noProof/>
      </w:rPr>
      <w:t>1</w:t>
    </w:r>
    <w:r>
      <w:rPr>
        <w:rStyle w:val="ae"/>
      </w:rPr>
      <w:fldChar w:fldCharType="end"/>
    </w:r>
  </w:p>
  <w:p w:rsidR="004C0EAB" w:rsidRDefault="004C0EAB" w:rsidP="00307F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E4" w:rsidRDefault="00A30DE4">
      <w:r>
        <w:separator/>
      </w:r>
    </w:p>
  </w:footnote>
  <w:footnote w:type="continuationSeparator" w:id="0">
    <w:p w:rsidR="00A30DE4" w:rsidRDefault="00A3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0223FC"/>
    <w:lvl w:ilvl="0">
      <w:numFmt w:val="bullet"/>
      <w:lvlText w:val="*"/>
      <w:lvlJc w:val="left"/>
    </w:lvl>
  </w:abstractNum>
  <w:abstractNum w:abstractNumId="1">
    <w:nsid w:val="059269A2"/>
    <w:multiLevelType w:val="hybridMultilevel"/>
    <w:tmpl w:val="7D408FC8"/>
    <w:lvl w:ilvl="0" w:tplc="0419000F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">
    <w:nsid w:val="196B446D"/>
    <w:multiLevelType w:val="hybridMultilevel"/>
    <w:tmpl w:val="25083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821D6E"/>
    <w:multiLevelType w:val="multilevel"/>
    <w:tmpl w:val="68642F5E"/>
    <w:lvl w:ilvl="0">
      <w:numFmt w:val="bullet"/>
      <w:lvlText w:val="−"/>
      <w:lvlJc w:val="left"/>
      <w:rPr>
        <w:rFonts w:ascii="Segoe UI" w:eastAsia="Times New Roman" w:hAnsi="Segoe UI"/>
      </w:rPr>
    </w:lvl>
    <w:lvl w:ilvl="1">
      <w:numFmt w:val="bullet"/>
      <w:lvlText w:val="−"/>
      <w:lvlJc w:val="left"/>
      <w:rPr>
        <w:rFonts w:ascii="Segoe UI" w:eastAsia="Times New Roman" w:hAnsi="Segoe UI"/>
      </w:rPr>
    </w:lvl>
    <w:lvl w:ilvl="2">
      <w:numFmt w:val="bullet"/>
      <w:lvlText w:val="−"/>
      <w:lvlJc w:val="left"/>
      <w:rPr>
        <w:rFonts w:ascii="Segoe UI" w:eastAsia="Times New Roman" w:hAnsi="Segoe UI"/>
      </w:rPr>
    </w:lvl>
    <w:lvl w:ilvl="3">
      <w:numFmt w:val="bullet"/>
      <w:lvlText w:val="−"/>
      <w:lvlJc w:val="left"/>
      <w:rPr>
        <w:rFonts w:ascii="Segoe UI" w:eastAsia="Times New Roman" w:hAnsi="Segoe UI"/>
      </w:rPr>
    </w:lvl>
    <w:lvl w:ilvl="4">
      <w:numFmt w:val="bullet"/>
      <w:lvlText w:val="−"/>
      <w:lvlJc w:val="left"/>
      <w:rPr>
        <w:rFonts w:ascii="Segoe UI" w:eastAsia="Times New Roman" w:hAnsi="Segoe UI"/>
      </w:rPr>
    </w:lvl>
    <w:lvl w:ilvl="5">
      <w:numFmt w:val="bullet"/>
      <w:lvlText w:val="−"/>
      <w:lvlJc w:val="left"/>
      <w:rPr>
        <w:rFonts w:ascii="Segoe UI" w:eastAsia="Times New Roman" w:hAnsi="Segoe UI"/>
      </w:rPr>
    </w:lvl>
    <w:lvl w:ilvl="6">
      <w:numFmt w:val="bullet"/>
      <w:lvlText w:val="−"/>
      <w:lvlJc w:val="left"/>
      <w:rPr>
        <w:rFonts w:ascii="Segoe UI" w:eastAsia="Times New Roman" w:hAnsi="Segoe UI"/>
      </w:rPr>
    </w:lvl>
    <w:lvl w:ilvl="7">
      <w:numFmt w:val="bullet"/>
      <w:lvlText w:val="−"/>
      <w:lvlJc w:val="left"/>
      <w:rPr>
        <w:rFonts w:ascii="Segoe UI" w:eastAsia="Times New Roman" w:hAnsi="Segoe UI"/>
      </w:rPr>
    </w:lvl>
    <w:lvl w:ilvl="8">
      <w:numFmt w:val="bullet"/>
      <w:lvlText w:val="−"/>
      <w:lvlJc w:val="left"/>
      <w:rPr>
        <w:rFonts w:ascii="Segoe UI" w:eastAsia="Times New Roman" w:hAnsi="Segoe UI"/>
      </w:rPr>
    </w:lvl>
  </w:abstractNum>
  <w:abstractNum w:abstractNumId="4">
    <w:nsid w:val="1EEB50EE"/>
    <w:multiLevelType w:val="hybridMultilevel"/>
    <w:tmpl w:val="685E4B48"/>
    <w:lvl w:ilvl="0" w:tplc="5832D08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8A86009"/>
    <w:multiLevelType w:val="hybridMultilevel"/>
    <w:tmpl w:val="21D8AD44"/>
    <w:lvl w:ilvl="0" w:tplc="441AE8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2C5641"/>
    <w:multiLevelType w:val="singleLevel"/>
    <w:tmpl w:val="41E45C5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FAB6A1F"/>
    <w:multiLevelType w:val="hybridMultilevel"/>
    <w:tmpl w:val="ABDE0678"/>
    <w:lvl w:ilvl="0" w:tplc="D60880B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0F57181"/>
    <w:multiLevelType w:val="hybridMultilevel"/>
    <w:tmpl w:val="97B0A5E0"/>
    <w:lvl w:ilvl="0" w:tplc="76C24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2B15F00"/>
    <w:multiLevelType w:val="multilevel"/>
    <w:tmpl w:val="C78CC5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C0B36C8"/>
    <w:multiLevelType w:val="singleLevel"/>
    <w:tmpl w:val="BDDAE400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3E5A3E4E"/>
    <w:multiLevelType w:val="hybridMultilevel"/>
    <w:tmpl w:val="41FE3C4E"/>
    <w:lvl w:ilvl="0" w:tplc="F26251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3E31B1F"/>
    <w:multiLevelType w:val="hybridMultilevel"/>
    <w:tmpl w:val="AB767E16"/>
    <w:lvl w:ilvl="0" w:tplc="FC641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72509E3"/>
    <w:multiLevelType w:val="singleLevel"/>
    <w:tmpl w:val="FCCCA92C"/>
    <w:lvl w:ilvl="0">
      <w:start w:val="3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3B46217"/>
    <w:multiLevelType w:val="hybridMultilevel"/>
    <w:tmpl w:val="97C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476F2F"/>
    <w:multiLevelType w:val="hybridMultilevel"/>
    <w:tmpl w:val="F80CA3CE"/>
    <w:lvl w:ilvl="0" w:tplc="38A0DD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6F0016E0"/>
    <w:multiLevelType w:val="hybridMultilevel"/>
    <w:tmpl w:val="AD4E0C0A"/>
    <w:lvl w:ilvl="0" w:tplc="EA36CE0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721D1BC6"/>
    <w:multiLevelType w:val="hybridMultilevel"/>
    <w:tmpl w:val="B218C86E"/>
    <w:lvl w:ilvl="0" w:tplc="A8F07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3AD070D"/>
    <w:multiLevelType w:val="hybridMultilevel"/>
    <w:tmpl w:val="AC3AA85E"/>
    <w:lvl w:ilvl="0" w:tplc="A502AFB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281E0B"/>
    <w:multiLevelType w:val="multilevel"/>
    <w:tmpl w:val="F4E4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EB53B7"/>
    <w:multiLevelType w:val="hybridMultilevel"/>
    <w:tmpl w:val="5978DFF6"/>
    <w:lvl w:ilvl="0" w:tplc="D0026DD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FF5DBA"/>
    <w:multiLevelType w:val="singleLevel"/>
    <w:tmpl w:val="4866D240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22"/>
  </w:num>
  <w:num w:numId="9">
    <w:abstractNumId w:val="10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78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54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660"/>
        <w:lvlJc w:val="left"/>
        <w:rPr>
          <w:rFonts w:ascii="Times New Roman" w:hAnsi="Times New Roman" w:hint="default"/>
        </w:rPr>
      </w:lvl>
    </w:lvlOverride>
  </w:num>
  <w:num w:numId="16">
    <w:abstractNumId w:val="14"/>
  </w:num>
  <w:num w:numId="17">
    <w:abstractNumId w:val="17"/>
  </w:num>
  <w:num w:numId="18">
    <w:abstractNumId w:val="9"/>
  </w:num>
  <w:num w:numId="19">
    <w:abstractNumId w:val="3"/>
  </w:num>
  <w:num w:numId="20">
    <w:abstractNumId w:val="4"/>
  </w:num>
  <w:num w:numId="21">
    <w:abstractNumId w:val="12"/>
  </w:num>
  <w:num w:numId="22">
    <w:abstractNumId w:val="18"/>
  </w:num>
  <w:num w:numId="23">
    <w:abstractNumId w:val="21"/>
  </w:num>
  <w:num w:numId="24">
    <w:abstractNumId w:val="11"/>
  </w:num>
  <w:num w:numId="25">
    <w:abstractNumId w:val="5"/>
  </w:num>
  <w:num w:numId="26">
    <w:abstractNumId w:val="15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DDC"/>
    <w:rsid w:val="0000270E"/>
    <w:rsid w:val="00002E17"/>
    <w:rsid w:val="00004474"/>
    <w:rsid w:val="0000512F"/>
    <w:rsid w:val="00011379"/>
    <w:rsid w:val="00012332"/>
    <w:rsid w:val="000204FC"/>
    <w:rsid w:val="00024E3E"/>
    <w:rsid w:val="00025B2D"/>
    <w:rsid w:val="00026CD6"/>
    <w:rsid w:val="000315A4"/>
    <w:rsid w:val="00033DAF"/>
    <w:rsid w:val="00036000"/>
    <w:rsid w:val="000377E7"/>
    <w:rsid w:val="00041B8B"/>
    <w:rsid w:val="00042A8B"/>
    <w:rsid w:val="00042BDF"/>
    <w:rsid w:val="000517FA"/>
    <w:rsid w:val="000523F3"/>
    <w:rsid w:val="00054D79"/>
    <w:rsid w:val="00055A0C"/>
    <w:rsid w:val="00056E91"/>
    <w:rsid w:val="00060B6D"/>
    <w:rsid w:val="00062167"/>
    <w:rsid w:val="0006320F"/>
    <w:rsid w:val="00063EC3"/>
    <w:rsid w:val="0006721F"/>
    <w:rsid w:val="00067688"/>
    <w:rsid w:val="00067817"/>
    <w:rsid w:val="000728BA"/>
    <w:rsid w:val="00073F27"/>
    <w:rsid w:val="00074F62"/>
    <w:rsid w:val="00077409"/>
    <w:rsid w:val="0008192B"/>
    <w:rsid w:val="00087BFE"/>
    <w:rsid w:val="00092457"/>
    <w:rsid w:val="00094BA6"/>
    <w:rsid w:val="000A0801"/>
    <w:rsid w:val="000A0E99"/>
    <w:rsid w:val="000A2D13"/>
    <w:rsid w:val="000A6BBE"/>
    <w:rsid w:val="000A72BC"/>
    <w:rsid w:val="000A77BA"/>
    <w:rsid w:val="000B2E5F"/>
    <w:rsid w:val="000B3C82"/>
    <w:rsid w:val="000B5D97"/>
    <w:rsid w:val="000B62A3"/>
    <w:rsid w:val="000C2039"/>
    <w:rsid w:val="000C5F22"/>
    <w:rsid w:val="000C68B9"/>
    <w:rsid w:val="000C6CB8"/>
    <w:rsid w:val="000C7C60"/>
    <w:rsid w:val="000D0FA9"/>
    <w:rsid w:val="000D1408"/>
    <w:rsid w:val="000D4371"/>
    <w:rsid w:val="000D58A5"/>
    <w:rsid w:val="000D5D03"/>
    <w:rsid w:val="000E0708"/>
    <w:rsid w:val="000E1102"/>
    <w:rsid w:val="000E314C"/>
    <w:rsid w:val="000E50AE"/>
    <w:rsid w:val="000F21F1"/>
    <w:rsid w:val="000F2ADA"/>
    <w:rsid w:val="000F71CA"/>
    <w:rsid w:val="00100117"/>
    <w:rsid w:val="001004F4"/>
    <w:rsid w:val="0010139A"/>
    <w:rsid w:val="00101849"/>
    <w:rsid w:val="00102181"/>
    <w:rsid w:val="00104DA0"/>
    <w:rsid w:val="00111119"/>
    <w:rsid w:val="001131C4"/>
    <w:rsid w:val="00113CCB"/>
    <w:rsid w:val="00114323"/>
    <w:rsid w:val="001159FE"/>
    <w:rsid w:val="00115AF3"/>
    <w:rsid w:val="0011785E"/>
    <w:rsid w:val="00121142"/>
    <w:rsid w:val="00122016"/>
    <w:rsid w:val="001251D4"/>
    <w:rsid w:val="00125613"/>
    <w:rsid w:val="00125D9B"/>
    <w:rsid w:val="001315EB"/>
    <w:rsid w:val="00131716"/>
    <w:rsid w:val="00132E72"/>
    <w:rsid w:val="00133CE5"/>
    <w:rsid w:val="0014169E"/>
    <w:rsid w:val="00142808"/>
    <w:rsid w:val="00142991"/>
    <w:rsid w:val="00142C8B"/>
    <w:rsid w:val="00145CB6"/>
    <w:rsid w:val="001572CB"/>
    <w:rsid w:val="00163432"/>
    <w:rsid w:val="0016375B"/>
    <w:rsid w:val="00165407"/>
    <w:rsid w:val="00165E61"/>
    <w:rsid w:val="00165F51"/>
    <w:rsid w:val="0016695D"/>
    <w:rsid w:val="00172F9B"/>
    <w:rsid w:val="001737D5"/>
    <w:rsid w:val="00173826"/>
    <w:rsid w:val="001754C4"/>
    <w:rsid w:val="00175529"/>
    <w:rsid w:val="0017621A"/>
    <w:rsid w:val="001770BA"/>
    <w:rsid w:val="00180532"/>
    <w:rsid w:val="0018085A"/>
    <w:rsid w:val="00182981"/>
    <w:rsid w:val="0018412A"/>
    <w:rsid w:val="001845CE"/>
    <w:rsid w:val="001861F5"/>
    <w:rsid w:val="00190EEA"/>
    <w:rsid w:val="00192E7B"/>
    <w:rsid w:val="00194FF3"/>
    <w:rsid w:val="00195E3C"/>
    <w:rsid w:val="001A3350"/>
    <w:rsid w:val="001A5C92"/>
    <w:rsid w:val="001A61AD"/>
    <w:rsid w:val="001A62FB"/>
    <w:rsid w:val="001B2EAC"/>
    <w:rsid w:val="001B5808"/>
    <w:rsid w:val="001B6549"/>
    <w:rsid w:val="001B6DFA"/>
    <w:rsid w:val="001C034D"/>
    <w:rsid w:val="001C143B"/>
    <w:rsid w:val="001C21C9"/>
    <w:rsid w:val="001C2799"/>
    <w:rsid w:val="001C4252"/>
    <w:rsid w:val="001C4BBD"/>
    <w:rsid w:val="001C4DC2"/>
    <w:rsid w:val="001C54AA"/>
    <w:rsid w:val="001D3D33"/>
    <w:rsid w:val="001D6763"/>
    <w:rsid w:val="001E05B7"/>
    <w:rsid w:val="001E2DB6"/>
    <w:rsid w:val="001E4B12"/>
    <w:rsid w:val="001E5010"/>
    <w:rsid w:val="001E65D8"/>
    <w:rsid w:val="001E7467"/>
    <w:rsid w:val="001F16CE"/>
    <w:rsid w:val="001F31EB"/>
    <w:rsid w:val="001F6051"/>
    <w:rsid w:val="002008C2"/>
    <w:rsid w:val="0020403B"/>
    <w:rsid w:val="00210B4C"/>
    <w:rsid w:val="00212A12"/>
    <w:rsid w:val="00212EF0"/>
    <w:rsid w:val="00214AC4"/>
    <w:rsid w:val="00214C23"/>
    <w:rsid w:val="00214EE4"/>
    <w:rsid w:val="00215E42"/>
    <w:rsid w:val="002204C7"/>
    <w:rsid w:val="0022079D"/>
    <w:rsid w:val="00223BCA"/>
    <w:rsid w:val="00225201"/>
    <w:rsid w:val="00226947"/>
    <w:rsid w:val="00232A61"/>
    <w:rsid w:val="002350C0"/>
    <w:rsid w:val="00243D2F"/>
    <w:rsid w:val="00245E64"/>
    <w:rsid w:val="00247DA1"/>
    <w:rsid w:val="002519A4"/>
    <w:rsid w:val="00252FF0"/>
    <w:rsid w:val="0025337A"/>
    <w:rsid w:val="00255265"/>
    <w:rsid w:val="002567FF"/>
    <w:rsid w:val="0026114D"/>
    <w:rsid w:val="0026160B"/>
    <w:rsid w:val="00262EDC"/>
    <w:rsid w:val="00264AB1"/>
    <w:rsid w:val="0026534F"/>
    <w:rsid w:val="00265D63"/>
    <w:rsid w:val="00271A75"/>
    <w:rsid w:val="0027353D"/>
    <w:rsid w:val="00273EF1"/>
    <w:rsid w:val="0027508F"/>
    <w:rsid w:val="00280B43"/>
    <w:rsid w:val="00281858"/>
    <w:rsid w:val="00285236"/>
    <w:rsid w:val="00285BAE"/>
    <w:rsid w:val="00285D7B"/>
    <w:rsid w:val="00286174"/>
    <w:rsid w:val="00287544"/>
    <w:rsid w:val="002876E9"/>
    <w:rsid w:val="002917A2"/>
    <w:rsid w:val="0029216C"/>
    <w:rsid w:val="00295BE2"/>
    <w:rsid w:val="002964B0"/>
    <w:rsid w:val="00296E95"/>
    <w:rsid w:val="0029731A"/>
    <w:rsid w:val="00297533"/>
    <w:rsid w:val="002A1703"/>
    <w:rsid w:val="002A1C2C"/>
    <w:rsid w:val="002A2906"/>
    <w:rsid w:val="002A33D4"/>
    <w:rsid w:val="002A4398"/>
    <w:rsid w:val="002A66AD"/>
    <w:rsid w:val="002B1653"/>
    <w:rsid w:val="002B2C6F"/>
    <w:rsid w:val="002B35D3"/>
    <w:rsid w:val="002C0F46"/>
    <w:rsid w:val="002C1716"/>
    <w:rsid w:val="002C21FF"/>
    <w:rsid w:val="002C2FFC"/>
    <w:rsid w:val="002C3C51"/>
    <w:rsid w:val="002C7165"/>
    <w:rsid w:val="002D07AC"/>
    <w:rsid w:val="002D0BF0"/>
    <w:rsid w:val="002D1A0F"/>
    <w:rsid w:val="002D2035"/>
    <w:rsid w:val="002D2D73"/>
    <w:rsid w:val="002D4AA8"/>
    <w:rsid w:val="002D4F4D"/>
    <w:rsid w:val="002D65C0"/>
    <w:rsid w:val="002E1ECE"/>
    <w:rsid w:val="002E6ABD"/>
    <w:rsid w:val="002E7D87"/>
    <w:rsid w:val="002F6495"/>
    <w:rsid w:val="002F6BED"/>
    <w:rsid w:val="002F7523"/>
    <w:rsid w:val="0030582D"/>
    <w:rsid w:val="0030769F"/>
    <w:rsid w:val="00307FF4"/>
    <w:rsid w:val="003163CD"/>
    <w:rsid w:val="00316BCF"/>
    <w:rsid w:val="00320B25"/>
    <w:rsid w:val="00321519"/>
    <w:rsid w:val="00321D96"/>
    <w:rsid w:val="003229A3"/>
    <w:rsid w:val="00325B02"/>
    <w:rsid w:val="00326F46"/>
    <w:rsid w:val="0033069E"/>
    <w:rsid w:val="003316E5"/>
    <w:rsid w:val="00332EEB"/>
    <w:rsid w:val="003330CA"/>
    <w:rsid w:val="00341820"/>
    <w:rsid w:val="0034218B"/>
    <w:rsid w:val="00344937"/>
    <w:rsid w:val="003452AC"/>
    <w:rsid w:val="003465B6"/>
    <w:rsid w:val="003467A4"/>
    <w:rsid w:val="00347107"/>
    <w:rsid w:val="00355466"/>
    <w:rsid w:val="003564ED"/>
    <w:rsid w:val="0035706E"/>
    <w:rsid w:val="003577F8"/>
    <w:rsid w:val="0036028B"/>
    <w:rsid w:val="0036141A"/>
    <w:rsid w:val="003622AA"/>
    <w:rsid w:val="00362697"/>
    <w:rsid w:val="00363782"/>
    <w:rsid w:val="003718D8"/>
    <w:rsid w:val="00375418"/>
    <w:rsid w:val="00377FAE"/>
    <w:rsid w:val="00381293"/>
    <w:rsid w:val="003823A4"/>
    <w:rsid w:val="00382E0E"/>
    <w:rsid w:val="003831F1"/>
    <w:rsid w:val="00386A21"/>
    <w:rsid w:val="00386DFE"/>
    <w:rsid w:val="00390231"/>
    <w:rsid w:val="0039050D"/>
    <w:rsid w:val="00392CAD"/>
    <w:rsid w:val="00394B2A"/>
    <w:rsid w:val="003A1273"/>
    <w:rsid w:val="003A1E14"/>
    <w:rsid w:val="003A1FED"/>
    <w:rsid w:val="003A529A"/>
    <w:rsid w:val="003A5DD4"/>
    <w:rsid w:val="003A6FE7"/>
    <w:rsid w:val="003B0195"/>
    <w:rsid w:val="003B2DA1"/>
    <w:rsid w:val="003B52B6"/>
    <w:rsid w:val="003B5F0D"/>
    <w:rsid w:val="003B6A8E"/>
    <w:rsid w:val="003C16FC"/>
    <w:rsid w:val="003C40F3"/>
    <w:rsid w:val="003C5DF7"/>
    <w:rsid w:val="003C65D5"/>
    <w:rsid w:val="003D1345"/>
    <w:rsid w:val="003D15DD"/>
    <w:rsid w:val="003D28AC"/>
    <w:rsid w:val="003D4C7E"/>
    <w:rsid w:val="003E2518"/>
    <w:rsid w:val="003E26FE"/>
    <w:rsid w:val="003E45AB"/>
    <w:rsid w:val="003E4941"/>
    <w:rsid w:val="003E5215"/>
    <w:rsid w:val="003E716A"/>
    <w:rsid w:val="003E763D"/>
    <w:rsid w:val="003F04F4"/>
    <w:rsid w:val="003F20EA"/>
    <w:rsid w:val="003F2549"/>
    <w:rsid w:val="003F3D2E"/>
    <w:rsid w:val="003F4070"/>
    <w:rsid w:val="003F658C"/>
    <w:rsid w:val="004025F2"/>
    <w:rsid w:val="00402DDC"/>
    <w:rsid w:val="00406652"/>
    <w:rsid w:val="00414B2F"/>
    <w:rsid w:val="004152ED"/>
    <w:rsid w:val="00421EF5"/>
    <w:rsid w:val="0042313A"/>
    <w:rsid w:val="0042366B"/>
    <w:rsid w:val="00424FEA"/>
    <w:rsid w:val="00431C9A"/>
    <w:rsid w:val="00433729"/>
    <w:rsid w:val="0044228B"/>
    <w:rsid w:val="00442E56"/>
    <w:rsid w:val="0044359C"/>
    <w:rsid w:val="00445E49"/>
    <w:rsid w:val="00446773"/>
    <w:rsid w:val="00450410"/>
    <w:rsid w:val="0045279A"/>
    <w:rsid w:val="004540D5"/>
    <w:rsid w:val="0045568A"/>
    <w:rsid w:val="0045656F"/>
    <w:rsid w:val="0046249F"/>
    <w:rsid w:val="0046272E"/>
    <w:rsid w:val="004702F3"/>
    <w:rsid w:val="004731EC"/>
    <w:rsid w:val="00473997"/>
    <w:rsid w:val="00473AEE"/>
    <w:rsid w:val="004755D6"/>
    <w:rsid w:val="00476C10"/>
    <w:rsid w:val="004771DA"/>
    <w:rsid w:val="00477AB4"/>
    <w:rsid w:val="00481D77"/>
    <w:rsid w:val="00482228"/>
    <w:rsid w:val="004840E2"/>
    <w:rsid w:val="00484260"/>
    <w:rsid w:val="004870CF"/>
    <w:rsid w:val="00487592"/>
    <w:rsid w:val="00487E08"/>
    <w:rsid w:val="00487FD3"/>
    <w:rsid w:val="00491353"/>
    <w:rsid w:val="00492C1A"/>
    <w:rsid w:val="0049485F"/>
    <w:rsid w:val="00496E00"/>
    <w:rsid w:val="00497B81"/>
    <w:rsid w:val="004A0BF6"/>
    <w:rsid w:val="004A0FD6"/>
    <w:rsid w:val="004A1175"/>
    <w:rsid w:val="004A23BF"/>
    <w:rsid w:val="004A46E4"/>
    <w:rsid w:val="004A6471"/>
    <w:rsid w:val="004A6A61"/>
    <w:rsid w:val="004C0569"/>
    <w:rsid w:val="004C0EAB"/>
    <w:rsid w:val="004C2E79"/>
    <w:rsid w:val="004C71A2"/>
    <w:rsid w:val="004D0ABD"/>
    <w:rsid w:val="004E405D"/>
    <w:rsid w:val="004E43C9"/>
    <w:rsid w:val="004E49FF"/>
    <w:rsid w:val="004E6A30"/>
    <w:rsid w:val="004F4D49"/>
    <w:rsid w:val="004F5D23"/>
    <w:rsid w:val="004F7756"/>
    <w:rsid w:val="0050201A"/>
    <w:rsid w:val="005145B5"/>
    <w:rsid w:val="0051531A"/>
    <w:rsid w:val="00515833"/>
    <w:rsid w:val="005207BC"/>
    <w:rsid w:val="005313C5"/>
    <w:rsid w:val="00532099"/>
    <w:rsid w:val="005367E7"/>
    <w:rsid w:val="00536B8B"/>
    <w:rsid w:val="00541786"/>
    <w:rsid w:val="00541C3E"/>
    <w:rsid w:val="00546731"/>
    <w:rsid w:val="00546DA5"/>
    <w:rsid w:val="00547696"/>
    <w:rsid w:val="0055173A"/>
    <w:rsid w:val="005535E0"/>
    <w:rsid w:val="005543EC"/>
    <w:rsid w:val="00554C87"/>
    <w:rsid w:val="005609A1"/>
    <w:rsid w:val="005609BA"/>
    <w:rsid w:val="00561168"/>
    <w:rsid w:val="00562A1D"/>
    <w:rsid w:val="00563CB3"/>
    <w:rsid w:val="005652B5"/>
    <w:rsid w:val="00566D5F"/>
    <w:rsid w:val="00567286"/>
    <w:rsid w:val="005700B5"/>
    <w:rsid w:val="00570C40"/>
    <w:rsid w:val="00575AA2"/>
    <w:rsid w:val="00577157"/>
    <w:rsid w:val="005801A8"/>
    <w:rsid w:val="00580D3E"/>
    <w:rsid w:val="00581470"/>
    <w:rsid w:val="0058332C"/>
    <w:rsid w:val="00585887"/>
    <w:rsid w:val="00586729"/>
    <w:rsid w:val="00591A85"/>
    <w:rsid w:val="005944B0"/>
    <w:rsid w:val="00595813"/>
    <w:rsid w:val="00597830"/>
    <w:rsid w:val="005A073F"/>
    <w:rsid w:val="005A1BEB"/>
    <w:rsid w:val="005A4BBA"/>
    <w:rsid w:val="005A5203"/>
    <w:rsid w:val="005B0E7A"/>
    <w:rsid w:val="005B3B3B"/>
    <w:rsid w:val="005B4645"/>
    <w:rsid w:val="005B649F"/>
    <w:rsid w:val="005C14B0"/>
    <w:rsid w:val="005C2BE9"/>
    <w:rsid w:val="005C3615"/>
    <w:rsid w:val="005C4879"/>
    <w:rsid w:val="005C4C09"/>
    <w:rsid w:val="005D021F"/>
    <w:rsid w:val="005D4CE6"/>
    <w:rsid w:val="005D6401"/>
    <w:rsid w:val="005D6EFC"/>
    <w:rsid w:val="005E382F"/>
    <w:rsid w:val="005E524D"/>
    <w:rsid w:val="005E60A8"/>
    <w:rsid w:val="005F0BD4"/>
    <w:rsid w:val="005F179B"/>
    <w:rsid w:val="005F2AD9"/>
    <w:rsid w:val="005F49F9"/>
    <w:rsid w:val="005F5119"/>
    <w:rsid w:val="005F6E41"/>
    <w:rsid w:val="00602555"/>
    <w:rsid w:val="006037CB"/>
    <w:rsid w:val="00604416"/>
    <w:rsid w:val="006135D0"/>
    <w:rsid w:val="00613ABF"/>
    <w:rsid w:val="006147AE"/>
    <w:rsid w:val="00614ECB"/>
    <w:rsid w:val="00615D1B"/>
    <w:rsid w:val="00616233"/>
    <w:rsid w:val="0062118D"/>
    <w:rsid w:val="00621CD4"/>
    <w:rsid w:val="00623DA0"/>
    <w:rsid w:val="00624DA2"/>
    <w:rsid w:val="006256F3"/>
    <w:rsid w:val="00625C16"/>
    <w:rsid w:val="00625EC9"/>
    <w:rsid w:val="0062625A"/>
    <w:rsid w:val="0062645A"/>
    <w:rsid w:val="006350EB"/>
    <w:rsid w:val="00642527"/>
    <w:rsid w:val="0064303B"/>
    <w:rsid w:val="006437B6"/>
    <w:rsid w:val="0064411D"/>
    <w:rsid w:val="006456F6"/>
    <w:rsid w:val="00645B3C"/>
    <w:rsid w:val="006468A6"/>
    <w:rsid w:val="00651E2B"/>
    <w:rsid w:val="00655C52"/>
    <w:rsid w:val="00657A36"/>
    <w:rsid w:val="00657E7E"/>
    <w:rsid w:val="00661943"/>
    <w:rsid w:val="00661A45"/>
    <w:rsid w:val="00667E2E"/>
    <w:rsid w:val="0067241D"/>
    <w:rsid w:val="0067758F"/>
    <w:rsid w:val="0068084C"/>
    <w:rsid w:val="00682084"/>
    <w:rsid w:val="00684080"/>
    <w:rsid w:val="00684767"/>
    <w:rsid w:val="006939B1"/>
    <w:rsid w:val="00694B63"/>
    <w:rsid w:val="0069524B"/>
    <w:rsid w:val="00695B92"/>
    <w:rsid w:val="006962F7"/>
    <w:rsid w:val="0069711C"/>
    <w:rsid w:val="0069731A"/>
    <w:rsid w:val="00697479"/>
    <w:rsid w:val="006A080F"/>
    <w:rsid w:val="006A2A7F"/>
    <w:rsid w:val="006A302A"/>
    <w:rsid w:val="006A328D"/>
    <w:rsid w:val="006A53B1"/>
    <w:rsid w:val="006A67A4"/>
    <w:rsid w:val="006A7D65"/>
    <w:rsid w:val="006B14AD"/>
    <w:rsid w:val="006B1605"/>
    <w:rsid w:val="006B1606"/>
    <w:rsid w:val="006B1801"/>
    <w:rsid w:val="006B3941"/>
    <w:rsid w:val="006B3B35"/>
    <w:rsid w:val="006B645B"/>
    <w:rsid w:val="006C74F3"/>
    <w:rsid w:val="006D26B6"/>
    <w:rsid w:val="006D554B"/>
    <w:rsid w:val="006D62BF"/>
    <w:rsid w:val="006E4DD9"/>
    <w:rsid w:val="006E59CC"/>
    <w:rsid w:val="006F0D43"/>
    <w:rsid w:val="006F5BA2"/>
    <w:rsid w:val="006F68BE"/>
    <w:rsid w:val="00701E3C"/>
    <w:rsid w:val="007055A6"/>
    <w:rsid w:val="007071EE"/>
    <w:rsid w:val="007104FC"/>
    <w:rsid w:val="007108ED"/>
    <w:rsid w:val="0071242E"/>
    <w:rsid w:val="007145BF"/>
    <w:rsid w:val="007147B2"/>
    <w:rsid w:val="00716565"/>
    <w:rsid w:val="00716613"/>
    <w:rsid w:val="00721C0C"/>
    <w:rsid w:val="00725994"/>
    <w:rsid w:val="00727181"/>
    <w:rsid w:val="0073030F"/>
    <w:rsid w:val="007332FB"/>
    <w:rsid w:val="0073734B"/>
    <w:rsid w:val="00740154"/>
    <w:rsid w:val="00741052"/>
    <w:rsid w:val="00745F00"/>
    <w:rsid w:val="00746E98"/>
    <w:rsid w:val="00746F53"/>
    <w:rsid w:val="00747572"/>
    <w:rsid w:val="007512C4"/>
    <w:rsid w:val="007552E2"/>
    <w:rsid w:val="00755CEB"/>
    <w:rsid w:val="007622AA"/>
    <w:rsid w:val="00766B62"/>
    <w:rsid w:val="00766DFB"/>
    <w:rsid w:val="00766F26"/>
    <w:rsid w:val="00770483"/>
    <w:rsid w:val="007729A3"/>
    <w:rsid w:val="00772BFA"/>
    <w:rsid w:val="0078144B"/>
    <w:rsid w:val="00781F6B"/>
    <w:rsid w:val="00787306"/>
    <w:rsid w:val="00787988"/>
    <w:rsid w:val="00787CAF"/>
    <w:rsid w:val="00790986"/>
    <w:rsid w:val="00794440"/>
    <w:rsid w:val="00794EB6"/>
    <w:rsid w:val="0079505E"/>
    <w:rsid w:val="00796392"/>
    <w:rsid w:val="007A2832"/>
    <w:rsid w:val="007A3251"/>
    <w:rsid w:val="007A34EB"/>
    <w:rsid w:val="007A447A"/>
    <w:rsid w:val="007A55CF"/>
    <w:rsid w:val="007A6612"/>
    <w:rsid w:val="007A7FF5"/>
    <w:rsid w:val="007B0C48"/>
    <w:rsid w:val="007B0CA6"/>
    <w:rsid w:val="007B1BB6"/>
    <w:rsid w:val="007B3FAE"/>
    <w:rsid w:val="007C0ECA"/>
    <w:rsid w:val="007C3201"/>
    <w:rsid w:val="007C3B7F"/>
    <w:rsid w:val="007C51C7"/>
    <w:rsid w:val="007D2055"/>
    <w:rsid w:val="007D281B"/>
    <w:rsid w:val="007D6FE4"/>
    <w:rsid w:val="007D71A4"/>
    <w:rsid w:val="007E0552"/>
    <w:rsid w:val="007E7ABF"/>
    <w:rsid w:val="007F0697"/>
    <w:rsid w:val="007F1BB3"/>
    <w:rsid w:val="007F23E3"/>
    <w:rsid w:val="007F263D"/>
    <w:rsid w:val="007F6984"/>
    <w:rsid w:val="007F7A19"/>
    <w:rsid w:val="0080107E"/>
    <w:rsid w:val="00804D5C"/>
    <w:rsid w:val="00804D64"/>
    <w:rsid w:val="0080661E"/>
    <w:rsid w:val="00807677"/>
    <w:rsid w:val="008076F1"/>
    <w:rsid w:val="00811276"/>
    <w:rsid w:val="0081470E"/>
    <w:rsid w:val="00814AFE"/>
    <w:rsid w:val="00816A18"/>
    <w:rsid w:val="0082790B"/>
    <w:rsid w:val="0083054F"/>
    <w:rsid w:val="008362C0"/>
    <w:rsid w:val="0084629C"/>
    <w:rsid w:val="008506F0"/>
    <w:rsid w:val="0085241F"/>
    <w:rsid w:val="00854109"/>
    <w:rsid w:val="0085461B"/>
    <w:rsid w:val="00856807"/>
    <w:rsid w:val="00860F9D"/>
    <w:rsid w:val="00867349"/>
    <w:rsid w:val="00870011"/>
    <w:rsid w:val="00871EE2"/>
    <w:rsid w:val="008733F6"/>
    <w:rsid w:val="00873E08"/>
    <w:rsid w:val="00875326"/>
    <w:rsid w:val="0087676C"/>
    <w:rsid w:val="008802EB"/>
    <w:rsid w:val="00882B6F"/>
    <w:rsid w:val="00884756"/>
    <w:rsid w:val="00885870"/>
    <w:rsid w:val="00887201"/>
    <w:rsid w:val="00890334"/>
    <w:rsid w:val="00890B11"/>
    <w:rsid w:val="0089296D"/>
    <w:rsid w:val="00893D88"/>
    <w:rsid w:val="008A013F"/>
    <w:rsid w:val="008A0846"/>
    <w:rsid w:val="008A2B5F"/>
    <w:rsid w:val="008A3CE9"/>
    <w:rsid w:val="008A5585"/>
    <w:rsid w:val="008B2003"/>
    <w:rsid w:val="008B20D8"/>
    <w:rsid w:val="008B32C0"/>
    <w:rsid w:val="008B4FC7"/>
    <w:rsid w:val="008C23E5"/>
    <w:rsid w:val="008C3E70"/>
    <w:rsid w:val="008C481D"/>
    <w:rsid w:val="008C6170"/>
    <w:rsid w:val="008C671F"/>
    <w:rsid w:val="008C6BBE"/>
    <w:rsid w:val="008C6CDB"/>
    <w:rsid w:val="008D544B"/>
    <w:rsid w:val="008E2D0E"/>
    <w:rsid w:val="008E341E"/>
    <w:rsid w:val="008E7B85"/>
    <w:rsid w:val="008F0DF9"/>
    <w:rsid w:val="008F3FCA"/>
    <w:rsid w:val="008F4049"/>
    <w:rsid w:val="008F4BC7"/>
    <w:rsid w:val="008F6BCF"/>
    <w:rsid w:val="00901E6D"/>
    <w:rsid w:val="00902DAF"/>
    <w:rsid w:val="00902DC0"/>
    <w:rsid w:val="00903999"/>
    <w:rsid w:val="00904D09"/>
    <w:rsid w:val="00905E70"/>
    <w:rsid w:val="00907377"/>
    <w:rsid w:val="00907E36"/>
    <w:rsid w:val="0091029C"/>
    <w:rsid w:val="009129E6"/>
    <w:rsid w:val="00912BBC"/>
    <w:rsid w:val="00915221"/>
    <w:rsid w:val="00916B9C"/>
    <w:rsid w:val="009201AD"/>
    <w:rsid w:val="009203A1"/>
    <w:rsid w:val="0092090D"/>
    <w:rsid w:val="00920956"/>
    <w:rsid w:val="009218FB"/>
    <w:rsid w:val="00924EEE"/>
    <w:rsid w:val="009253FB"/>
    <w:rsid w:val="00926C30"/>
    <w:rsid w:val="009279AE"/>
    <w:rsid w:val="00930C22"/>
    <w:rsid w:val="0093633E"/>
    <w:rsid w:val="00946C56"/>
    <w:rsid w:val="0095589C"/>
    <w:rsid w:val="00955A78"/>
    <w:rsid w:val="009612DB"/>
    <w:rsid w:val="00961E94"/>
    <w:rsid w:val="0096397B"/>
    <w:rsid w:val="009668CE"/>
    <w:rsid w:val="009677B7"/>
    <w:rsid w:val="00970D5F"/>
    <w:rsid w:val="00975858"/>
    <w:rsid w:val="00975E9E"/>
    <w:rsid w:val="00976960"/>
    <w:rsid w:val="00977322"/>
    <w:rsid w:val="009775FF"/>
    <w:rsid w:val="00981E64"/>
    <w:rsid w:val="00982BB6"/>
    <w:rsid w:val="009831C8"/>
    <w:rsid w:val="0098496B"/>
    <w:rsid w:val="00984B59"/>
    <w:rsid w:val="00985341"/>
    <w:rsid w:val="00991063"/>
    <w:rsid w:val="0099321B"/>
    <w:rsid w:val="009932A1"/>
    <w:rsid w:val="009A08E7"/>
    <w:rsid w:val="009A0A0E"/>
    <w:rsid w:val="009B0C8C"/>
    <w:rsid w:val="009B1217"/>
    <w:rsid w:val="009B4D67"/>
    <w:rsid w:val="009B6566"/>
    <w:rsid w:val="009B68FA"/>
    <w:rsid w:val="009B7CF2"/>
    <w:rsid w:val="009C44D2"/>
    <w:rsid w:val="009C5223"/>
    <w:rsid w:val="009C5554"/>
    <w:rsid w:val="009C6525"/>
    <w:rsid w:val="009C6E25"/>
    <w:rsid w:val="009C7706"/>
    <w:rsid w:val="009C7B36"/>
    <w:rsid w:val="009D033A"/>
    <w:rsid w:val="009D0633"/>
    <w:rsid w:val="009D0A73"/>
    <w:rsid w:val="009D0E0D"/>
    <w:rsid w:val="009D1E8A"/>
    <w:rsid w:val="009D27DC"/>
    <w:rsid w:val="009D292C"/>
    <w:rsid w:val="009D3B38"/>
    <w:rsid w:val="009D49AA"/>
    <w:rsid w:val="009D4CD8"/>
    <w:rsid w:val="009D503F"/>
    <w:rsid w:val="009E4DCA"/>
    <w:rsid w:val="009F6534"/>
    <w:rsid w:val="009F6EE7"/>
    <w:rsid w:val="00A01693"/>
    <w:rsid w:val="00A02336"/>
    <w:rsid w:val="00A041EC"/>
    <w:rsid w:val="00A05838"/>
    <w:rsid w:val="00A16B43"/>
    <w:rsid w:val="00A24126"/>
    <w:rsid w:val="00A27860"/>
    <w:rsid w:val="00A27D53"/>
    <w:rsid w:val="00A30DE4"/>
    <w:rsid w:val="00A31F62"/>
    <w:rsid w:val="00A33A00"/>
    <w:rsid w:val="00A34FDD"/>
    <w:rsid w:val="00A35240"/>
    <w:rsid w:val="00A35371"/>
    <w:rsid w:val="00A35F99"/>
    <w:rsid w:val="00A47C72"/>
    <w:rsid w:val="00A54834"/>
    <w:rsid w:val="00A6194E"/>
    <w:rsid w:val="00A63315"/>
    <w:rsid w:val="00A63F3D"/>
    <w:rsid w:val="00A659AE"/>
    <w:rsid w:val="00A66444"/>
    <w:rsid w:val="00A6712E"/>
    <w:rsid w:val="00A70826"/>
    <w:rsid w:val="00A76994"/>
    <w:rsid w:val="00A771D2"/>
    <w:rsid w:val="00A82DEE"/>
    <w:rsid w:val="00A90187"/>
    <w:rsid w:val="00A936AE"/>
    <w:rsid w:val="00A93711"/>
    <w:rsid w:val="00A93853"/>
    <w:rsid w:val="00A97631"/>
    <w:rsid w:val="00AA0123"/>
    <w:rsid w:val="00AA6485"/>
    <w:rsid w:val="00AA773F"/>
    <w:rsid w:val="00AA7AA4"/>
    <w:rsid w:val="00AB24D5"/>
    <w:rsid w:val="00AB4A01"/>
    <w:rsid w:val="00AB7769"/>
    <w:rsid w:val="00AB7BD0"/>
    <w:rsid w:val="00AC03BA"/>
    <w:rsid w:val="00AC2061"/>
    <w:rsid w:val="00AD0109"/>
    <w:rsid w:val="00AD1BD3"/>
    <w:rsid w:val="00AD3769"/>
    <w:rsid w:val="00AD3D89"/>
    <w:rsid w:val="00AE16FF"/>
    <w:rsid w:val="00AE2FE6"/>
    <w:rsid w:val="00AE35C4"/>
    <w:rsid w:val="00AE4D8F"/>
    <w:rsid w:val="00AE7BF7"/>
    <w:rsid w:val="00AF3ADA"/>
    <w:rsid w:val="00AF4398"/>
    <w:rsid w:val="00AF6D0F"/>
    <w:rsid w:val="00AF6DDD"/>
    <w:rsid w:val="00B01361"/>
    <w:rsid w:val="00B01522"/>
    <w:rsid w:val="00B0244E"/>
    <w:rsid w:val="00B038A5"/>
    <w:rsid w:val="00B040D4"/>
    <w:rsid w:val="00B07291"/>
    <w:rsid w:val="00B07B5D"/>
    <w:rsid w:val="00B12B53"/>
    <w:rsid w:val="00B212A2"/>
    <w:rsid w:val="00B21741"/>
    <w:rsid w:val="00B21CC1"/>
    <w:rsid w:val="00B21DF7"/>
    <w:rsid w:val="00B24F05"/>
    <w:rsid w:val="00B252D5"/>
    <w:rsid w:val="00B26007"/>
    <w:rsid w:val="00B33ABF"/>
    <w:rsid w:val="00B34A80"/>
    <w:rsid w:val="00B35430"/>
    <w:rsid w:val="00B3617E"/>
    <w:rsid w:val="00B374AE"/>
    <w:rsid w:val="00B377E2"/>
    <w:rsid w:val="00B41EB5"/>
    <w:rsid w:val="00B4320A"/>
    <w:rsid w:val="00B443A1"/>
    <w:rsid w:val="00B447A9"/>
    <w:rsid w:val="00B45899"/>
    <w:rsid w:val="00B461F0"/>
    <w:rsid w:val="00B47D27"/>
    <w:rsid w:val="00B52248"/>
    <w:rsid w:val="00B52844"/>
    <w:rsid w:val="00B53866"/>
    <w:rsid w:val="00B5766A"/>
    <w:rsid w:val="00B6239F"/>
    <w:rsid w:val="00B6307A"/>
    <w:rsid w:val="00B63F5A"/>
    <w:rsid w:val="00B64405"/>
    <w:rsid w:val="00B645E6"/>
    <w:rsid w:val="00B65847"/>
    <w:rsid w:val="00B743C7"/>
    <w:rsid w:val="00B74C03"/>
    <w:rsid w:val="00B75723"/>
    <w:rsid w:val="00B7579A"/>
    <w:rsid w:val="00B83ED3"/>
    <w:rsid w:val="00B86A70"/>
    <w:rsid w:val="00B90F25"/>
    <w:rsid w:val="00B91989"/>
    <w:rsid w:val="00BA0725"/>
    <w:rsid w:val="00BA54BE"/>
    <w:rsid w:val="00BB06FF"/>
    <w:rsid w:val="00BB3848"/>
    <w:rsid w:val="00BB49E7"/>
    <w:rsid w:val="00BB5830"/>
    <w:rsid w:val="00BB76CB"/>
    <w:rsid w:val="00BC1836"/>
    <w:rsid w:val="00BC24FC"/>
    <w:rsid w:val="00BC2919"/>
    <w:rsid w:val="00BC30A6"/>
    <w:rsid w:val="00BC3D12"/>
    <w:rsid w:val="00BC3F3F"/>
    <w:rsid w:val="00BC49CB"/>
    <w:rsid w:val="00BC5AF1"/>
    <w:rsid w:val="00BD12E5"/>
    <w:rsid w:val="00BD231A"/>
    <w:rsid w:val="00BD49D2"/>
    <w:rsid w:val="00BD5716"/>
    <w:rsid w:val="00BD64A7"/>
    <w:rsid w:val="00BE123B"/>
    <w:rsid w:val="00BE21FF"/>
    <w:rsid w:val="00BE47B1"/>
    <w:rsid w:val="00BE5CCC"/>
    <w:rsid w:val="00BE7F74"/>
    <w:rsid w:val="00BF15A1"/>
    <w:rsid w:val="00BF3A11"/>
    <w:rsid w:val="00BF4468"/>
    <w:rsid w:val="00BF4641"/>
    <w:rsid w:val="00BF4E80"/>
    <w:rsid w:val="00BF7D69"/>
    <w:rsid w:val="00C0040B"/>
    <w:rsid w:val="00C01336"/>
    <w:rsid w:val="00C040C2"/>
    <w:rsid w:val="00C0629D"/>
    <w:rsid w:val="00C06C1D"/>
    <w:rsid w:val="00C0782A"/>
    <w:rsid w:val="00C14CA5"/>
    <w:rsid w:val="00C152F5"/>
    <w:rsid w:val="00C15E56"/>
    <w:rsid w:val="00C1684B"/>
    <w:rsid w:val="00C16A25"/>
    <w:rsid w:val="00C20BE7"/>
    <w:rsid w:val="00C2227A"/>
    <w:rsid w:val="00C2352D"/>
    <w:rsid w:val="00C257F0"/>
    <w:rsid w:val="00C25BC4"/>
    <w:rsid w:val="00C26960"/>
    <w:rsid w:val="00C2717B"/>
    <w:rsid w:val="00C32840"/>
    <w:rsid w:val="00C3540B"/>
    <w:rsid w:val="00C366F6"/>
    <w:rsid w:val="00C4056E"/>
    <w:rsid w:val="00C43634"/>
    <w:rsid w:val="00C45B24"/>
    <w:rsid w:val="00C463F0"/>
    <w:rsid w:val="00C4777F"/>
    <w:rsid w:val="00C5188D"/>
    <w:rsid w:val="00C51B0C"/>
    <w:rsid w:val="00C53E0F"/>
    <w:rsid w:val="00C546D0"/>
    <w:rsid w:val="00C554A2"/>
    <w:rsid w:val="00C57484"/>
    <w:rsid w:val="00C6003C"/>
    <w:rsid w:val="00C6154D"/>
    <w:rsid w:val="00C6708C"/>
    <w:rsid w:val="00C71C27"/>
    <w:rsid w:val="00C76BE1"/>
    <w:rsid w:val="00C76D6F"/>
    <w:rsid w:val="00C80FF2"/>
    <w:rsid w:val="00C81A33"/>
    <w:rsid w:val="00C8292B"/>
    <w:rsid w:val="00C8339E"/>
    <w:rsid w:val="00C838B3"/>
    <w:rsid w:val="00C83FC9"/>
    <w:rsid w:val="00C86D09"/>
    <w:rsid w:val="00C9163E"/>
    <w:rsid w:val="00C92361"/>
    <w:rsid w:val="00C949BB"/>
    <w:rsid w:val="00C96CD2"/>
    <w:rsid w:val="00C97725"/>
    <w:rsid w:val="00CA1485"/>
    <w:rsid w:val="00CA356E"/>
    <w:rsid w:val="00CA647A"/>
    <w:rsid w:val="00CA75B7"/>
    <w:rsid w:val="00CB08B3"/>
    <w:rsid w:val="00CB2D2B"/>
    <w:rsid w:val="00CB2EF9"/>
    <w:rsid w:val="00CB327B"/>
    <w:rsid w:val="00CB37E6"/>
    <w:rsid w:val="00CB5DC7"/>
    <w:rsid w:val="00CB68ED"/>
    <w:rsid w:val="00CB6ED7"/>
    <w:rsid w:val="00CB721D"/>
    <w:rsid w:val="00CC0E76"/>
    <w:rsid w:val="00CC2842"/>
    <w:rsid w:val="00CC3C33"/>
    <w:rsid w:val="00CC47B0"/>
    <w:rsid w:val="00CC4BF9"/>
    <w:rsid w:val="00CC6500"/>
    <w:rsid w:val="00CC7595"/>
    <w:rsid w:val="00CD036D"/>
    <w:rsid w:val="00CD49C0"/>
    <w:rsid w:val="00CD54A4"/>
    <w:rsid w:val="00CD5747"/>
    <w:rsid w:val="00CD63DE"/>
    <w:rsid w:val="00CD7E67"/>
    <w:rsid w:val="00CE6E03"/>
    <w:rsid w:val="00CE7588"/>
    <w:rsid w:val="00CF3A66"/>
    <w:rsid w:val="00CF78F3"/>
    <w:rsid w:val="00D00113"/>
    <w:rsid w:val="00D00158"/>
    <w:rsid w:val="00D03706"/>
    <w:rsid w:val="00D037CE"/>
    <w:rsid w:val="00D04EB6"/>
    <w:rsid w:val="00D05329"/>
    <w:rsid w:val="00D05528"/>
    <w:rsid w:val="00D06669"/>
    <w:rsid w:val="00D10F23"/>
    <w:rsid w:val="00D12250"/>
    <w:rsid w:val="00D14914"/>
    <w:rsid w:val="00D15A43"/>
    <w:rsid w:val="00D2137E"/>
    <w:rsid w:val="00D2247D"/>
    <w:rsid w:val="00D23334"/>
    <w:rsid w:val="00D34884"/>
    <w:rsid w:val="00D34FF7"/>
    <w:rsid w:val="00D401DC"/>
    <w:rsid w:val="00D42C39"/>
    <w:rsid w:val="00D44026"/>
    <w:rsid w:val="00D44771"/>
    <w:rsid w:val="00D46D06"/>
    <w:rsid w:val="00D4740A"/>
    <w:rsid w:val="00D4750D"/>
    <w:rsid w:val="00D47CE4"/>
    <w:rsid w:val="00D528EF"/>
    <w:rsid w:val="00D52EF0"/>
    <w:rsid w:val="00D5370A"/>
    <w:rsid w:val="00D548EF"/>
    <w:rsid w:val="00D57DB8"/>
    <w:rsid w:val="00D60B27"/>
    <w:rsid w:val="00D6263D"/>
    <w:rsid w:val="00D6268E"/>
    <w:rsid w:val="00D629E7"/>
    <w:rsid w:val="00D63E68"/>
    <w:rsid w:val="00D66C8B"/>
    <w:rsid w:val="00D67640"/>
    <w:rsid w:val="00D73BB4"/>
    <w:rsid w:val="00D73C9A"/>
    <w:rsid w:val="00D7629F"/>
    <w:rsid w:val="00D7642D"/>
    <w:rsid w:val="00D84BD6"/>
    <w:rsid w:val="00D87991"/>
    <w:rsid w:val="00D91A71"/>
    <w:rsid w:val="00D91B4A"/>
    <w:rsid w:val="00D921E3"/>
    <w:rsid w:val="00D92498"/>
    <w:rsid w:val="00D95E42"/>
    <w:rsid w:val="00D96540"/>
    <w:rsid w:val="00D96C57"/>
    <w:rsid w:val="00D96C80"/>
    <w:rsid w:val="00D97179"/>
    <w:rsid w:val="00DA1CB5"/>
    <w:rsid w:val="00DA3246"/>
    <w:rsid w:val="00DA6879"/>
    <w:rsid w:val="00DB07EF"/>
    <w:rsid w:val="00DB1E33"/>
    <w:rsid w:val="00DB4E0F"/>
    <w:rsid w:val="00DB64C3"/>
    <w:rsid w:val="00DC4167"/>
    <w:rsid w:val="00DC460E"/>
    <w:rsid w:val="00DC5231"/>
    <w:rsid w:val="00DC6EFB"/>
    <w:rsid w:val="00DD0C5E"/>
    <w:rsid w:val="00DD1293"/>
    <w:rsid w:val="00DD2D50"/>
    <w:rsid w:val="00DD48E0"/>
    <w:rsid w:val="00DD50FB"/>
    <w:rsid w:val="00DE284C"/>
    <w:rsid w:val="00DE614E"/>
    <w:rsid w:val="00DF4172"/>
    <w:rsid w:val="00DF4E1B"/>
    <w:rsid w:val="00E04DB4"/>
    <w:rsid w:val="00E059CE"/>
    <w:rsid w:val="00E07205"/>
    <w:rsid w:val="00E07AF0"/>
    <w:rsid w:val="00E12D5B"/>
    <w:rsid w:val="00E13361"/>
    <w:rsid w:val="00E173A9"/>
    <w:rsid w:val="00E20389"/>
    <w:rsid w:val="00E217E1"/>
    <w:rsid w:val="00E2189C"/>
    <w:rsid w:val="00E23EBA"/>
    <w:rsid w:val="00E26E73"/>
    <w:rsid w:val="00E3009E"/>
    <w:rsid w:val="00E317BB"/>
    <w:rsid w:val="00E31E6E"/>
    <w:rsid w:val="00E33A90"/>
    <w:rsid w:val="00E348CB"/>
    <w:rsid w:val="00E4029E"/>
    <w:rsid w:val="00E4159B"/>
    <w:rsid w:val="00E45B2A"/>
    <w:rsid w:val="00E5053B"/>
    <w:rsid w:val="00E52E98"/>
    <w:rsid w:val="00E57A78"/>
    <w:rsid w:val="00E65962"/>
    <w:rsid w:val="00E65BBE"/>
    <w:rsid w:val="00E76EB7"/>
    <w:rsid w:val="00E770FB"/>
    <w:rsid w:val="00E800FE"/>
    <w:rsid w:val="00E811B3"/>
    <w:rsid w:val="00E936E5"/>
    <w:rsid w:val="00E95CB5"/>
    <w:rsid w:val="00E97BFC"/>
    <w:rsid w:val="00E97D08"/>
    <w:rsid w:val="00EA1023"/>
    <w:rsid w:val="00EA1C8B"/>
    <w:rsid w:val="00EA1E44"/>
    <w:rsid w:val="00EA4607"/>
    <w:rsid w:val="00EA6872"/>
    <w:rsid w:val="00EB3114"/>
    <w:rsid w:val="00EB35D0"/>
    <w:rsid w:val="00EB47C0"/>
    <w:rsid w:val="00EB4FB6"/>
    <w:rsid w:val="00EB539B"/>
    <w:rsid w:val="00EB6E71"/>
    <w:rsid w:val="00EB7D8C"/>
    <w:rsid w:val="00EC05A7"/>
    <w:rsid w:val="00EC0F2D"/>
    <w:rsid w:val="00EC2BBA"/>
    <w:rsid w:val="00EC4CDA"/>
    <w:rsid w:val="00EC4F52"/>
    <w:rsid w:val="00EC64A2"/>
    <w:rsid w:val="00EC66ED"/>
    <w:rsid w:val="00EC72A7"/>
    <w:rsid w:val="00ED06EE"/>
    <w:rsid w:val="00ED3D44"/>
    <w:rsid w:val="00ED3E46"/>
    <w:rsid w:val="00ED4BF3"/>
    <w:rsid w:val="00ED5327"/>
    <w:rsid w:val="00EE4BF9"/>
    <w:rsid w:val="00EE5287"/>
    <w:rsid w:val="00EE785A"/>
    <w:rsid w:val="00EF08AE"/>
    <w:rsid w:val="00EF1CDE"/>
    <w:rsid w:val="00EF21FC"/>
    <w:rsid w:val="00EF5E5C"/>
    <w:rsid w:val="00EF5EF0"/>
    <w:rsid w:val="00EF6378"/>
    <w:rsid w:val="00EF754B"/>
    <w:rsid w:val="00F0450E"/>
    <w:rsid w:val="00F04CCD"/>
    <w:rsid w:val="00F07059"/>
    <w:rsid w:val="00F10693"/>
    <w:rsid w:val="00F10AC5"/>
    <w:rsid w:val="00F12EB4"/>
    <w:rsid w:val="00F1461B"/>
    <w:rsid w:val="00F14920"/>
    <w:rsid w:val="00F21D5D"/>
    <w:rsid w:val="00F249ED"/>
    <w:rsid w:val="00F26774"/>
    <w:rsid w:val="00F26C4C"/>
    <w:rsid w:val="00F31106"/>
    <w:rsid w:val="00F3123B"/>
    <w:rsid w:val="00F330DD"/>
    <w:rsid w:val="00F337E7"/>
    <w:rsid w:val="00F33A85"/>
    <w:rsid w:val="00F364D1"/>
    <w:rsid w:val="00F4063F"/>
    <w:rsid w:val="00F40D9A"/>
    <w:rsid w:val="00F42D23"/>
    <w:rsid w:val="00F44493"/>
    <w:rsid w:val="00F50DEB"/>
    <w:rsid w:val="00F513D5"/>
    <w:rsid w:val="00F51D1A"/>
    <w:rsid w:val="00F53462"/>
    <w:rsid w:val="00F53ED1"/>
    <w:rsid w:val="00F5739E"/>
    <w:rsid w:val="00F574BE"/>
    <w:rsid w:val="00F65CCF"/>
    <w:rsid w:val="00F67DCB"/>
    <w:rsid w:val="00F67E78"/>
    <w:rsid w:val="00F732D7"/>
    <w:rsid w:val="00F75512"/>
    <w:rsid w:val="00F77181"/>
    <w:rsid w:val="00F81395"/>
    <w:rsid w:val="00F8141E"/>
    <w:rsid w:val="00F82809"/>
    <w:rsid w:val="00F8700D"/>
    <w:rsid w:val="00F8788D"/>
    <w:rsid w:val="00F91974"/>
    <w:rsid w:val="00F94728"/>
    <w:rsid w:val="00F95DA2"/>
    <w:rsid w:val="00FA3731"/>
    <w:rsid w:val="00FA4FD2"/>
    <w:rsid w:val="00FA6541"/>
    <w:rsid w:val="00FB5541"/>
    <w:rsid w:val="00FB6882"/>
    <w:rsid w:val="00FC0804"/>
    <w:rsid w:val="00FC09EC"/>
    <w:rsid w:val="00FC12D9"/>
    <w:rsid w:val="00FC13CA"/>
    <w:rsid w:val="00FC2113"/>
    <w:rsid w:val="00FC3898"/>
    <w:rsid w:val="00FC47B4"/>
    <w:rsid w:val="00FC7F8B"/>
    <w:rsid w:val="00FD03C9"/>
    <w:rsid w:val="00FD0BDB"/>
    <w:rsid w:val="00FD35ED"/>
    <w:rsid w:val="00FD3EC8"/>
    <w:rsid w:val="00FD5D2E"/>
    <w:rsid w:val="00FD6D93"/>
    <w:rsid w:val="00FD761C"/>
    <w:rsid w:val="00FE127C"/>
    <w:rsid w:val="00FE443B"/>
    <w:rsid w:val="00FE55AE"/>
    <w:rsid w:val="00FE63EA"/>
    <w:rsid w:val="00FF0619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35E0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C829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5E0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C4879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02DD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C0F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35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20389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E20389"/>
    <w:rPr>
      <w:rFonts w:cs="Times New Roman"/>
      <w:b/>
      <w:bCs/>
    </w:rPr>
  </w:style>
  <w:style w:type="table" w:styleId="a8">
    <w:name w:val="Table Grid"/>
    <w:basedOn w:val="a1"/>
    <w:uiPriority w:val="39"/>
    <w:rsid w:val="0007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C8292B"/>
    <w:rPr>
      <w:b/>
      <w:sz w:val="17"/>
      <w:lang w:val="ru-RU" w:eastAsia="ru-RU"/>
    </w:rPr>
  </w:style>
  <w:style w:type="paragraph" w:styleId="a9">
    <w:name w:val="Body Text"/>
    <w:basedOn w:val="a"/>
    <w:link w:val="aa"/>
    <w:uiPriority w:val="99"/>
    <w:rsid w:val="00C8292B"/>
    <w:pPr>
      <w:autoSpaceDE w:val="0"/>
      <w:autoSpaceDN w:val="0"/>
      <w:adjustRightInd w:val="0"/>
      <w:ind w:right="-149"/>
      <w:jc w:val="center"/>
    </w:pPr>
    <w:rPr>
      <w:b/>
      <w:bCs/>
      <w:sz w:val="17"/>
      <w:szCs w:val="17"/>
    </w:rPr>
  </w:style>
  <w:style w:type="character" w:customStyle="1" w:styleId="aa">
    <w:name w:val="Основной текст Знак"/>
    <w:link w:val="a9"/>
    <w:uiPriority w:val="99"/>
    <w:semiHidden/>
    <w:locked/>
    <w:rsid w:val="005C4879"/>
    <w:rPr>
      <w:rFonts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C8292B"/>
    <w:pPr>
      <w:spacing w:before="100" w:beforeAutospacing="1" w:after="100" w:afterAutospacing="1"/>
    </w:pPr>
  </w:style>
  <w:style w:type="paragraph" w:customStyle="1" w:styleId="ab">
    <w:name w:val="Знак Знак Знак"/>
    <w:basedOn w:val="a"/>
    <w:uiPriority w:val="99"/>
    <w:rsid w:val="00026C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5">
    <w:name w:val="Font Style45"/>
    <w:uiPriority w:val="99"/>
    <w:rsid w:val="00026CD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26CD6"/>
    <w:pPr>
      <w:widowControl w:val="0"/>
      <w:autoSpaceDE w:val="0"/>
      <w:autoSpaceDN w:val="0"/>
      <w:adjustRightInd w:val="0"/>
      <w:spacing w:line="317" w:lineRule="exact"/>
      <w:ind w:firstLine="672"/>
      <w:jc w:val="both"/>
    </w:pPr>
  </w:style>
  <w:style w:type="paragraph" w:styleId="ac">
    <w:name w:val="footer"/>
    <w:basedOn w:val="a"/>
    <w:link w:val="ad"/>
    <w:uiPriority w:val="99"/>
    <w:rsid w:val="00307F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622AA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uiPriority w:val="99"/>
    <w:rsid w:val="00307FF4"/>
    <w:rPr>
      <w:rFonts w:cs="Times New Roman"/>
    </w:rPr>
  </w:style>
  <w:style w:type="character" w:customStyle="1" w:styleId="11">
    <w:name w:val="Знак Знак1"/>
    <w:uiPriority w:val="99"/>
    <w:rsid w:val="002A1C2C"/>
    <w:rPr>
      <w:rFonts w:cs="Times New Roman"/>
      <w:b/>
      <w:bCs/>
      <w:sz w:val="17"/>
      <w:szCs w:val="17"/>
      <w:lang w:val="ru-RU" w:eastAsia="ru-RU" w:bidi="ar-SA"/>
    </w:rPr>
  </w:style>
  <w:style w:type="character" w:customStyle="1" w:styleId="af">
    <w:name w:val="Цветовое выделение"/>
    <w:uiPriority w:val="99"/>
    <w:rsid w:val="00DB1E33"/>
    <w:rPr>
      <w:b/>
      <w:color w:val="000080"/>
    </w:rPr>
  </w:style>
  <w:style w:type="paragraph" w:styleId="af0">
    <w:name w:val="Body Text Indent"/>
    <w:basedOn w:val="a"/>
    <w:link w:val="af1"/>
    <w:uiPriority w:val="99"/>
    <w:rsid w:val="00DB1E33"/>
    <w:pPr>
      <w:spacing w:after="120"/>
      <w:ind w:left="283"/>
    </w:pPr>
    <w:rPr>
      <w:rFonts w:ascii="TimesET" w:hAnsi="TimesET"/>
    </w:rPr>
  </w:style>
  <w:style w:type="character" w:customStyle="1" w:styleId="af1">
    <w:name w:val="Основной текст с отступом Знак"/>
    <w:link w:val="af0"/>
    <w:uiPriority w:val="99"/>
    <w:locked/>
    <w:rsid w:val="00DB1E3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8A2B5F"/>
    <w:rPr>
      <w:rFonts w:cs="Times New Roman"/>
      <w:color w:val="486DAA"/>
    </w:rPr>
  </w:style>
  <w:style w:type="character" w:customStyle="1" w:styleId="FontStyle11">
    <w:name w:val="Font Style11"/>
    <w:uiPriority w:val="99"/>
    <w:rsid w:val="007A3251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uiPriority w:val="99"/>
    <w:rsid w:val="003F254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F2549"/>
    <w:rPr>
      <w:rFonts w:cs="Times New Roman"/>
    </w:rPr>
  </w:style>
  <w:style w:type="paragraph" w:customStyle="1" w:styleId="docttl">
    <w:name w:val="docttl"/>
    <w:basedOn w:val="a"/>
    <w:uiPriority w:val="99"/>
    <w:rsid w:val="0083054F"/>
    <w:rPr>
      <w:rFonts w:ascii="Verdana" w:hAnsi="Verdana"/>
      <w:b/>
      <w:bCs/>
      <w:color w:val="983F0C"/>
      <w:sz w:val="21"/>
      <w:szCs w:val="21"/>
    </w:rPr>
  </w:style>
  <w:style w:type="paragraph" w:customStyle="1" w:styleId="Style12">
    <w:name w:val="Style12"/>
    <w:basedOn w:val="a"/>
    <w:uiPriority w:val="99"/>
    <w:rsid w:val="00D00158"/>
    <w:pPr>
      <w:widowControl w:val="0"/>
      <w:autoSpaceDE w:val="0"/>
      <w:autoSpaceDN w:val="0"/>
      <w:adjustRightInd w:val="0"/>
      <w:spacing w:line="324" w:lineRule="exact"/>
      <w:ind w:firstLine="708"/>
      <w:jc w:val="both"/>
    </w:pPr>
  </w:style>
  <w:style w:type="character" w:customStyle="1" w:styleId="FontStyle28">
    <w:name w:val="Font Style28"/>
    <w:uiPriority w:val="99"/>
    <w:rsid w:val="00D0015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49485F"/>
    <w:pPr>
      <w:widowControl w:val="0"/>
      <w:autoSpaceDE w:val="0"/>
      <w:autoSpaceDN w:val="0"/>
      <w:adjustRightInd w:val="0"/>
      <w:spacing w:line="366" w:lineRule="exact"/>
      <w:ind w:firstLine="701"/>
      <w:jc w:val="both"/>
    </w:pPr>
  </w:style>
  <w:style w:type="character" w:customStyle="1" w:styleId="FontStyle30">
    <w:name w:val="Font Style30"/>
    <w:uiPriority w:val="99"/>
    <w:rsid w:val="0049485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9485F"/>
    <w:pPr>
      <w:widowControl w:val="0"/>
      <w:autoSpaceDE w:val="0"/>
      <w:autoSpaceDN w:val="0"/>
      <w:adjustRightInd w:val="0"/>
      <w:spacing w:line="389" w:lineRule="exact"/>
      <w:ind w:firstLine="701"/>
    </w:pPr>
  </w:style>
  <w:style w:type="paragraph" w:customStyle="1" w:styleId="Style9">
    <w:name w:val="Style9"/>
    <w:basedOn w:val="a"/>
    <w:uiPriority w:val="99"/>
    <w:rsid w:val="0049485F"/>
    <w:pPr>
      <w:widowControl w:val="0"/>
      <w:autoSpaceDE w:val="0"/>
      <w:autoSpaceDN w:val="0"/>
      <w:adjustRightInd w:val="0"/>
      <w:spacing w:line="365" w:lineRule="exact"/>
      <w:ind w:firstLine="710"/>
    </w:pPr>
  </w:style>
  <w:style w:type="character" w:customStyle="1" w:styleId="FontStyle40">
    <w:name w:val="Font Style40"/>
    <w:uiPriority w:val="99"/>
    <w:rsid w:val="00AF6DDD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AF6D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AF6DD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F6DD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23">
    <w:name w:val="Font Style23"/>
    <w:uiPriority w:val="99"/>
    <w:rsid w:val="00FC2113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622AA"/>
    <w:rPr>
      <w:sz w:val="26"/>
      <w:szCs w:val="22"/>
      <w:lang w:eastAsia="en-US"/>
    </w:rPr>
  </w:style>
  <w:style w:type="paragraph" w:customStyle="1" w:styleId="Style4">
    <w:name w:val="Style4"/>
    <w:basedOn w:val="a"/>
    <w:uiPriority w:val="99"/>
    <w:rsid w:val="00890334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37">
    <w:name w:val="Font Style37"/>
    <w:uiPriority w:val="99"/>
    <w:rsid w:val="00890334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89033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4320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4320A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36">
    <w:name w:val="Font Style36"/>
    <w:uiPriority w:val="99"/>
    <w:rsid w:val="00B4320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B4320A"/>
    <w:pPr>
      <w:widowControl w:val="0"/>
      <w:autoSpaceDE w:val="0"/>
      <w:autoSpaceDN w:val="0"/>
      <w:adjustRightInd w:val="0"/>
      <w:spacing w:line="366" w:lineRule="exact"/>
      <w:ind w:firstLine="701"/>
      <w:jc w:val="both"/>
    </w:pPr>
  </w:style>
  <w:style w:type="paragraph" w:customStyle="1" w:styleId="Style14">
    <w:name w:val="Style14"/>
    <w:basedOn w:val="a"/>
    <w:uiPriority w:val="99"/>
    <w:rsid w:val="00B4320A"/>
    <w:pPr>
      <w:widowControl w:val="0"/>
      <w:autoSpaceDE w:val="0"/>
      <w:autoSpaceDN w:val="0"/>
      <w:adjustRightInd w:val="0"/>
      <w:spacing w:line="365" w:lineRule="exact"/>
      <w:ind w:firstLine="710"/>
    </w:pPr>
  </w:style>
  <w:style w:type="paragraph" w:customStyle="1" w:styleId="Style20">
    <w:name w:val="Style20"/>
    <w:basedOn w:val="a"/>
    <w:uiPriority w:val="99"/>
    <w:rsid w:val="00B4320A"/>
    <w:pPr>
      <w:widowControl w:val="0"/>
      <w:autoSpaceDE w:val="0"/>
      <w:autoSpaceDN w:val="0"/>
      <w:adjustRightInd w:val="0"/>
      <w:spacing w:line="235" w:lineRule="exact"/>
      <w:ind w:firstLine="264"/>
      <w:jc w:val="both"/>
    </w:pPr>
  </w:style>
  <w:style w:type="character" w:customStyle="1" w:styleId="FontStyle32">
    <w:name w:val="Font Style32"/>
    <w:uiPriority w:val="99"/>
    <w:rsid w:val="00B432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B4320A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B4320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8C481D"/>
    <w:pPr>
      <w:widowControl w:val="0"/>
      <w:autoSpaceDE w:val="0"/>
      <w:autoSpaceDN w:val="0"/>
      <w:adjustRightInd w:val="0"/>
      <w:spacing w:line="317" w:lineRule="exact"/>
      <w:ind w:firstLine="677"/>
      <w:jc w:val="both"/>
    </w:pPr>
  </w:style>
  <w:style w:type="character" w:customStyle="1" w:styleId="FontStyle41">
    <w:name w:val="Font Style41"/>
    <w:uiPriority w:val="99"/>
    <w:rsid w:val="008C481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uiPriority w:val="99"/>
    <w:rsid w:val="008C481D"/>
    <w:rPr>
      <w:rFonts w:ascii="Times New Roman" w:hAnsi="Times New Roman" w:cs="Times New Roman"/>
      <w:sz w:val="14"/>
      <w:szCs w:val="14"/>
    </w:rPr>
  </w:style>
  <w:style w:type="character" w:customStyle="1" w:styleId="FontStyle62">
    <w:name w:val="Font Style62"/>
    <w:uiPriority w:val="99"/>
    <w:rsid w:val="008C481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B7579A"/>
    <w:pPr>
      <w:widowControl w:val="0"/>
      <w:autoSpaceDE w:val="0"/>
      <w:autoSpaceDN w:val="0"/>
      <w:adjustRightInd w:val="0"/>
      <w:spacing w:line="680" w:lineRule="exact"/>
    </w:pPr>
  </w:style>
  <w:style w:type="character" w:customStyle="1" w:styleId="FontStyle19">
    <w:name w:val="Font Style19"/>
    <w:uiPriority w:val="99"/>
    <w:rsid w:val="00B7579A"/>
    <w:rPr>
      <w:rFonts w:ascii="Times New Roman" w:hAnsi="Times New Roman" w:cs="Times New Roman"/>
      <w:sz w:val="56"/>
      <w:szCs w:val="56"/>
    </w:rPr>
  </w:style>
  <w:style w:type="character" w:customStyle="1" w:styleId="FontStyle22">
    <w:name w:val="Font Style22"/>
    <w:uiPriority w:val="99"/>
    <w:rsid w:val="00CB68ED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D96C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468A6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customStyle="1" w:styleId="Standard">
    <w:name w:val="Standard"/>
    <w:uiPriority w:val="99"/>
    <w:rsid w:val="006468A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15">
    <w:name w:val="Font Style15"/>
    <w:uiPriority w:val="99"/>
    <w:rsid w:val="00CF78F3"/>
    <w:rPr>
      <w:rFonts w:ascii="Times New Roman" w:hAnsi="Times New Roman" w:cs="Times New Roman"/>
      <w:sz w:val="38"/>
      <w:szCs w:val="38"/>
    </w:rPr>
  </w:style>
  <w:style w:type="paragraph" w:styleId="af2">
    <w:name w:val="footnote text"/>
    <w:basedOn w:val="a"/>
    <w:link w:val="af3"/>
    <w:uiPriority w:val="99"/>
    <w:semiHidden/>
    <w:rsid w:val="00623DA0"/>
    <w:rPr>
      <w:rFonts w:ascii="Calibri" w:hAnsi="Calibri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623DA0"/>
    <w:rPr>
      <w:rFonts w:ascii="Calibri" w:hAnsi="Calibri" w:cs="Times New Roman"/>
      <w:lang w:val="ru-RU" w:eastAsia="ru-RU" w:bidi="ar-SA"/>
    </w:rPr>
  </w:style>
  <w:style w:type="character" w:styleId="af4">
    <w:name w:val="footnote reference"/>
    <w:uiPriority w:val="99"/>
    <w:semiHidden/>
    <w:rsid w:val="00623DA0"/>
    <w:rPr>
      <w:rFonts w:cs="Times New Roman"/>
      <w:vertAlign w:val="superscript"/>
    </w:rPr>
  </w:style>
  <w:style w:type="paragraph" w:styleId="af5">
    <w:name w:val="header"/>
    <w:basedOn w:val="a"/>
    <w:link w:val="af6"/>
    <w:uiPriority w:val="99"/>
    <w:rsid w:val="005535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locked/>
    <w:rsid w:val="005535E0"/>
    <w:rPr>
      <w:rFonts w:ascii="Calibri" w:hAnsi="Calibri" w:cs="Times New Roman"/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5535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535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both">
    <w:name w:val="pboth"/>
    <w:basedOn w:val="a"/>
    <w:uiPriority w:val="99"/>
    <w:rsid w:val="005535E0"/>
    <w:pPr>
      <w:spacing w:before="100" w:beforeAutospacing="1" w:after="100" w:afterAutospacing="1"/>
    </w:pPr>
  </w:style>
  <w:style w:type="paragraph" w:styleId="af8">
    <w:name w:val="No Spacing"/>
    <w:uiPriority w:val="99"/>
    <w:qFormat/>
    <w:rsid w:val="0091029C"/>
    <w:rPr>
      <w:rFonts w:ascii="Calibri" w:hAnsi="Calibri"/>
      <w:sz w:val="22"/>
      <w:szCs w:val="22"/>
      <w:lang w:eastAsia="en-US"/>
    </w:rPr>
  </w:style>
  <w:style w:type="paragraph" w:customStyle="1" w:styleId="af9">
    <w:name w:val="_ФКУ_Текст"/>
    <w:basedOn w:val="af7"/>
    <w:uiPriority w:val="99"/>
    <w:rsid w:val="009F6534"/>
    <w:pPr>
      <w:tabs>
        <w:tab w:val="left" w:pos="709"/>
        <w:tab w:val="left" w:pos="1276"/>
      </w:tabs>
      <w:suppressAutoHyphens/>
      <w:spacing w:after="0"/>
      <w:ind w:left="0" w:firstLine="709"/>
      <w:contextualSpacing w:val="0"/>
      <w:jc w:val="both"/>
    </w:pPr>
    <w:rPr>
      <w:rFonts w:ascii="Times New Roman" w:eastAsia="Arial Unicode MS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DAA74-628D-4925-90B2-291F7DAC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25</Pages>
  <Words>8596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/>
  <LinksUpToDate>false</LinksUpToDate>
  <CharactersWithSpaces>57485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Смелая Анастасия Александровна</cp:lastModifiedBy>
  <cp:revision>91</cp:revision>
  <cp:lastPrinted>2017-11-10T11:05:00Z</cp:lastPrinted>
  <dcterms:created xsi:type="dcterms:W3CDTF">2017-11-07T19:27:00Z</dcterms:created>
  <dcterms:modified xsi:type="dcterms:W3CDTF">2017-11-30T08:44:00Z</dcterms:modified>
</cp:coreProperties>
</file>