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8D" w:rsidRPr="007658CE" w:rsidRDefault="007549FB" w:rsidP="00B07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C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07C8D" w:rsidRPr="007658CE" w:rsidRDefault="00B07C8D" w:rsidP="00B07C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b/>
          <w:sz w:val="28"/>
          <w:szCs w:val="28"/>
        </w:rPr>
        <w:t>«О модернизации бюджетного процесса в условиях внедрения программно-целевых методов управления</w:t>
      </w:r>
      <w:r w:rsidRPr="007658CE">
        <w:rPr>
          <w:rFonts w:ascii="Times New Roman" w:hAnsi="Times New Roman" w:cs="Times New Roman"/>
          <w:sz w:val="28"/>
          <w:szCs w:val="28"/>
        </w:rPr>
        <w:t>»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Выполняя функцию независимой «обратной связи», КСО прямо способствуют развитию процессов прозрачности российской бюджетной политики, влияет на повышение качества государственного, муниципального и общественного управления, способствует реализации конституционных принципов подотчетности власти обществу.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2013 году Правительство РФ  уделяло внимание созданию условий для эффективного управления региональными и муниципальными финансами, была проведена  значительная работа  по совершенствованию бюджетного законодательства, в том числе в области контроля. В основе новой организации бюджетного процесса в России лежит концепция, ориентированная на повышение ответственности и расширение самостоятельности участников бюджетного процесса в рамках четких среднесрочных ориентиров. 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Однако говорить о достижении поставленных целей преждевременно: еще не решена задача долгосрочной сбалансированности бюджетной системы, нет ощутимых сдвигов в повышении эффективности предоставления государственных (муниципальных) услуг, не осуществлен переход к программной структуре бюджетов. Так, по итогам 2013 года   в среднем по России доля программных расходов бюджета равна 46,9%.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последние годы финансовое положение большинства регионов осложнилось, при этом остается низким качество управления бюджетным процессом, свидетельством чего являются высокий по сравнению со среднероссийским уровнем уровень просроченной кредиторской задолженности по отношению к их собственным доходам, низкое качество финансового планирования, а также недостаточное использование современных процедур и методов управления бюджетным процессом.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Количество регионов, консолидированные бюджеты которых исполнены с дефицитом, увеличилось до 77 (в 2012 году - 67), при этом увеличение размера дефицита региональных бюджетов привело к росту объема госдолга субъектов РФ. Из них в 35 регионах дефицит превысил  ограничения, установленные ст.92.1 БК РФ. 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Постановлением Правительства РФ от 15 апреля 2014 года  №310 утверждена государственная </w:t>
      </w:r>
      <w:hyperlink w:anchor="Par17" w:history="1">
        <w:r w:rsidRPr="007658C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программа</w:t>
        </w:r>
      </w:hyperlink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 "</w:t>
      </w:r>
      <w:r w:rsidRPr="007658C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с целью  решения следующих проблем: 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повышение </w:t>
      </w:r>
      <w:proofErr w:type="gramStart"/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рисков несбалансированности бюджето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субъектов Российской Федерации</w:t>
      </w:r>
      <w:proofErr w:type="gramEnd"/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местных бюджетов;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несвоевременное осуществление или осуществление не в полном объеме полномочий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закрепленных законодательством Российской Федерации за органами государственной власти субъектов Российской Федерации и органами местного самоуправления;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 просроченной кредиторской задолженности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 качества управления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региональными и муниципальными </w:t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финансами;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 нарушений бюджетного законодательства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739E7" w:rsidRPr="007658CE" w:rsidRDefault="00B07C8D" w:rsidP="00B07C8D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Важнейшей точкой приложения усилий контрольно-счетных органов, практически совпадающее с их основными полномочиями, является Мероприятие  вышеуказанной программы "</w:t>
      </w:r>
      <w:r w:rsidRPr="007658C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Оценка качества управления региональными и муниципальными финансами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предусматривающее </w:t>
      </w: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ежегодную оценку субъектов Российской Федерации по показателям качества управления региональными финансами. </w:t>
      </w:r>
    </w:p>
    <w:p w:rsidR="00B07C8D" w:rsidRPr="007658CE" w:rsidRDefault="000739E7" w:rsidP="00B07C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="00B07C8D"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Оно направлено на распространение более эффективных методов управления общественными финансами, а также </w:t>
      </w:r>
      <w:r w:rsidR="00B07C8D"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мониторинг исполнения местных бюджетов</w:t>
      </w:r>
      <w:r w:rsidR="00B07C8D"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который осуществляется на регулярной основе в течение текущего финансового года </w:t>
      </w:r>
      <w:r w:rsidR="00B07C8D" w:rsidRPr="007658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целях оценки организации бюджетного процесса на муниципальном уровне.</w:t>
      </w:r>
      <w:r w:rsidR="00B07C8D" w:rsidRPr="007658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4366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sz w:val="28"/>
          <w:szCs w:val="28"/>
        </w:rPr>
        <w:tab/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оценки содержат индикаторы использования в бюджетном процессе передовых инструментов и процедур, открытости бюджетного процесса, качества управления государственным долгом, соблюдения норм бюджетного законодательства и т.п. Предполагается расширение сферы </w:t>
      </w: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охвата оценки и актуализация перечня применяемых индикаторов по мере совершенствования процедур финансового менеджмента. </w:t>
      </w:r>
    </w:p>
    <w:p w:rsidR="000739E7" w:rsidRPr="007658CE" w:rsidRDefault="000739E7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7C8D" w:rsidRPr="007658CE" w:rsidRDefault="00B07C8D" w:rsidP="00B07C8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Осознание </w:t>
      </w:r>
      <w:proofErr w:type="gramStart"/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значимости объективной оценки деятельности органов управления</w:t>
      </w:r>
      <w:proofErr w:type="gramEnd"/>
      <w:r w:rsidRPr="00765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общественными финансами и  участников бюджетного процесса побудило органы местного самоуправления  Перми, Владивостока, Улан-Удэ, Томска и других городов России издать  соответствующие нормативно-правовые акты о порядках   осуществления мониторинга и оценки качества управления бюджетным процессом. </w:t>
      </w:r>
    </w:p>
    <w:p w:rsidR="00B07C8D" w:rsidRPr="007658CE" w:rsidRDefault="00B07C8D" w:rsidP="00B07C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 xml:space="preserve">Так, например, в Перми ежегодно одновременно с принятием Пермской городской Думой проекта решения о бюджете на очередной финансовый год и плановый период утверждаются значения целевых </w:t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показателей деятельности администрации города Перми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на соответствующий период. Ежеквартально проводится оценка </w:t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эффективности исполнения бюджета города Перми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на основе системы интегрированных показателей, результаты оценки включаются в заключение Контрольно-счетной палаты города Перми по исполнению бюджета.  Кроме того, проводится оценка качества финансового менеджмента, осуществляемого ГАБС.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sz w:val="28"/>
          <w:szCs w:val="28"/>
        </w:rPr>
        <w:tab/>
      </w:r>
      <w:r w:rsidRPr="007658CE">
        <w:rPr>
          <w:rFonts w:ascii="Times New Roman" w:hAnsi="Times New Roman" w:cs="Times New Roman"/>
          <w:sz w:val="28"/>
          <w:szCs w:val="28"/>
        </w:rPr>
        <w:t xml:space="preserve">Администрацией города Владивостока утверждены перечни органов, ответственных за формирование индикаторов качества управления бюджетным процессом. Это индикаторы, характеризующие </w:t>
      </w:r>
      <w:r w:rsidRPr="007658CE">
        <w:rPr>
          <w:rFonts w:ascii="Times New Roman" w:hAnsi="Times New Roman" w:cs="Times New Roman"/>
          <w:sz w:val="28"/>
          <w:szCs w:val="28"/>
        </w:rPr>
        <w:tab/>
        <w:t xml:space="preserve"> качество бюджетного планирования, исполнения бюджета, управления муниципальным долгом, управления муниципальной собственностью и оказания муниципальных услуг, а также степень прозрачности бюджетного процесса.</w:t>
      </w:r>
    </w:p>
    <w:p w:rsidR="00B07C8D" w:rsidRPr="007658CE" w:rsidRDefault="00B07C8D" w:rsidP="000739E7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 xml:space="preserve">Проводимые оценки не являются  самоцелью, они должны свидетельствовать как о проблемах, требующих решения, так и о степени компетентности уполномоченных должностных лиц. </w:t>
      </w:r>
    </w:p>
    <w:p w:rsidR="00B07C8D" w:rsidRPr="007658CE" w:rsidRDefault="00E10168" w:rsidP="00B07C8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07C8D" w:rsidRPr="007658CE">
          <w:rPr>
            <w:sz w:val="28"/>
            <w:szCs w:val="28"/>
          </w:rPr>
          <w:br/>
        </w:r>
      </w:hyperlink>
      <w:r w:rsidR="00B07C8D" w:rsidRPr="007658CE">
        <w:rPr>
          <w:sz w:val="28"/>
          <w:szCs w:val="28"/>
        </w:rPr>
        <w:tab/>
      </w:r>
      <w:r w:rsidR="00B07C8D" w:rsidRPr="007658CE">
        <w:rPr>
          <w:rFonts w:ascii="Times New Roman" w:hAnsi="Times New Roman" w:cs="Times New Roman"/>
          <w:sz w:val="28"/>
          <w:szCs w:val="28"/>
        </w:rPr>
        <w:t xml:space="preserve">В 2010 - 2013 годах на федеральном уровне были сформулированы, закреплены в нормативных правовых актах и начали применяться на практике основные методологические подходы к формированию государственных программ Российской Федерации. Федеральным законом  №104-ФЗ от 7.05.2013  в Бюджетный кодекс внесены поправки, создающие правовую базу для перехода к формированию программного бюджета на основе программно-целевого принципа. </w:t>
      </w:r>
    </w:p>
    <w:p w:rsidR="000739E7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Проект федерального бюджета на 2014 год и плановый период 2015-2016 годов впервые внесен в структуре государственных программ и с 2015 года будет обязателен на муниципальном уровне во многих регионах. </w:t>
      </w:r>
      <w:r w:rsidRPr="007658CE">
        <w:rPr>
          <w:rFonts w:ascii="Times New Roman" w:hAnsi="Times New Roman" w:cs="Times New Roman"/>
          <w:sz w:val="28"/>
          <w:szCs w:val="28"/>
        </w:rPr>
        <w:tab/>
      </w:r>
    </w:p>
    <w:p w:rsidR="000739E7" w:rsidRPr="007658CE" w:rsidRDefault="000739E7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0739E7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</w:r>
      <w:r w:rsidR="00B07C8D" w:rsidRPr="007658CE">
        <w:rPr>
          <w:rFonts w:ascii="Times New Roman" w:hAnsi="Times New Roman" w:cs="Times New Roman"/>
          <w:sz w:val="28"/>
          <w:szCs w:val="28"/>
        </w:rPr>
        <w:t xml:space="preserve">Внедрение "программного" бюджета предполагает изменение порядка составления, утверждения и исполнения бюджетов, корректировку бюджетной классификации и системы бюджетной отчетности, внедрение новых форм и видов государственного и муниципального финансового контроля – то есть требует системных изменений  организации бюджетного процесса, как на федеральном уровне, так  и региональном и местном. </w:t>
      </w:r>
      <w:r w:rsidRPr="007658CE">
        <w:rPr>
          <w:rFonts w:ascii="Times New Roman" w:hAnsi="Times New Roman" w:cs="Times New Roman"/>
          <w:sz w:val="28"/>
          <w:szCs w:val="28"/>
        </w:rPr>
        <w:t>О</w:t>
      </w:r>
      <w:r w:rsidR="00B07C8D" w:rsidRPr="007658CE">
        <w:rPr>
          <w:rFonts w:ascii="Times New Roman" w:hAnsi="Times New Roman" w:cs="Times New Roman"/>
          <w:sz w:val="28"/>
          <w:szCs w:val="28"/>
        </w:rPr>
        <w:t>жидается внесение новой версии БК РФ в Государственную Думу,  в нем будут консолидированы в единую систему все принятые за последние  годы и разработанные изменения с целью принятия стабильного, удобного и кодифицированного законодательного акта.</w:t>
      </w:r>
    </w:p>
    <w:p w:rsidR="000739E7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739E7" w:rsidRPr="007658CE" w:rsidRDefault="000739E7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</w:r>
      <w:r w:rsidR="00B07C8D" w:rsidRPr="007658CE">
        <w:rPr>
          <w:rFonts w:ascii="Times New Roman" w:hAnsi="Times New Roman" w:cs="Times New Roman"/>
          <w:sz w:val="28"/>
          <w:szCs w:val="28"/>
        </w:rPr>
        <w:t>Внедрение программного бюджета в регионах осуществлялось в разных формах и разными методами. Одни регионы значительно продвинулись вперёд, большинство же - занимали выжидательную позицию.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sz w:val="28"/>
          <w:szCs w:val="28"/>
        </w:rPr>
        <w:tab/>
      </w:r>
      <w:r w:rsidRPr="007658CE">
        <w:rPr>
          <w:rFonts w:ascii="Times New Roman" w:hAnsi="Times New Roman" w:cs="Times New Roman"/>
          <w:sz w:val="28"/>
          <w:szCs w:val="28"/>
        </w:rPr>
        <w:t xml:space="preserve">Однако, наряду с положительными результатами, при внедрении программно-целевых методов управления сохраняется ряд общих для всей России недостатков, ограничений и </w:t>
      </w:r>
      <w:r w:rsidRPr="007658CE">
        <w:rPr>
          <w:rFonts w:ascii="Times New Roman" w:hAnsi="Times New Roman" w:cs="Times New Roman"/>
          <w:sz w:val="28"/>
          <w:szCs w:val="28"/>
          <w:u w:val="single"/>
        </w:rPr>
        <w:t>нерешенных проблем,</w:t>
      </w:r>
      <w:r w:rsidRPr="007658C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r w:rsidRPr="007658CE">
        <w:rPr>
          <w:rFonts w:ascii="Times New Roman" w:hAnsi="Times New Roman" w:cs="Times New Roman"/>
          <w:i/>
          <w:sz w:val="28"/>
          <w:szCs w:val="28"/>
        </w:rPr>
        <w:t>регламентированной процедуры</w:t>
      </w:r>
      <w:r w:rsidRPr="007658CE">
        <w:rPr>
          <w:rFonts w:ascii="Times New Roman" w:hAnsi="Times New Roman" w:cs="Times New Roman"/>
          <w:sz w:val="28"/>
          <w:szCs w:val="28"/>
        </w:rPr>
        <w:t xml:space="preserve"> формирования, рассмотрения и </w:t>
      </w:r>
      <w:r w:rsidRPr="007658CE">
        <w:rPr>
          <w:rFonts w:ascii="Times New Roman" w:hAnsi="Times New Roman" w:cs="Times New Roman"/>
          <w:i/>
          <w:sz w:val="28"/>
          <w:szCs w:val="28"/>
        </w:rPr>
        <w:t>использования в бюджетном процессе</w:t>
      </w:r>
      <w:r w:rsidRPr="007658CE">
        <w:rPr>
          <w:rFonts w:ascii="Times New Roman" w:hAnsi="Times New Roman" w:cs="Times New Roman"/>
          <w:sz w:val="28"/>
          <w:szCs w:val="28"/>
        </w:rPr>
        <w:t xml:space="preserve"> и при разработке документов стратегического планирования </w:t>
      </w:r>
      <w:r w:rsidRPr="007658CE">
        <w:rPr>
          <w:rFonts w:ascii="Times New Roman" w:hAnsi="Times New Roman" w:cs="Times New Roman"/>
          <w:i/>
          <w:sz w:val="28"/>
          <w:szCs w:val="28"/>
        </w:rPr>
        <w:t>прогнозов социально-экономического развития</w:t>
      </w:r>
      <w:r w:rsidRPr="007658CE">
        <w:rPr>
          <w:rFonts w:ascii="Times New Roman" w:hAnsi="Times New Roman" w:cs="Times New Roman"/>
          <w:sz w:val="28"/>
          <w:szCs w:val="28"/>
        </w:rPr>
        <w:t>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  <w:t xml:space="preserve">при формировании бюджета </w:t>
      </w:r>
      <w:r w:rsidRPr="007658CE">
        <w:rPr>
          <w:rFonts w:ascii="Times New Roman" w:hAnsi="Times New Roman" w:cs="Times New Roman"/>
          <w:i/>
          <w:sz w:val="28"/>
          <w:szCs w:val="28"/>
        </w:rPr>
        <w:t>достижение значений показателей</w:t>
      </w:r>
      <w:r w:rsidRPr="007658C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программ, как правило, </w:t>
      </w:r>
      <w:r w:rsidRPr="007658CE">
        <w:rPr>
          <w:rFonts w:ascii="Times New Roman" w:hAnsi="Times New Roman" w:cs="Times New Roman"/>
          <w:i/>
          <w:sz w:val="28"/>
          <w:szCs w:val="28"/>
        </w:rPr>
        <w:t>не учитывалось при планировании бюджетных ассигнований;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отсутствие целостной системы стратегического планирования</w:t>
      </w:r>
      <w:r w:rsidRPr="007658CE">
        <w:rPr>
          <w:rFonts w:ascii="Times New Roman" w:hAnsi="Times New Roman" w:cs="Times New Roman"/>
          <w:sz w:val="28"/>
          <w:szCs w:val="28"/>
        </w:rPr>
        <w:t xml:space="preserve"> и, соответственно, </w:t>
      </w:r>
      <w:r w:rsidRPr="007658CE">
        <w:rPr>
          <w:rFonts w:ascii="Times New Roman" w:hAnsi="Times New Roman" w:cs="Times New Roman"/>
          <w:i/>
          <w:sz w:val="28"/>
          <w:szCs w:val="28"/>
        </w:rPr>
        <w:t>слабая увязка между стратегическим и бюджетным планированием</w:t>
      </w:r>
      <w:r w:rsidRPr="007658CE">
        <w:rPr>
          <w:rFonts w:ascii="Times New Roman" w:hAnsi="Times New Roman" w:cs="Times New Roman"/>
          <w:sz w:val="28"/>
          <w:szCs w:val="28"/>
        </w:rPr>
        <w:t xml:space="preserve">, включая ограниченность практики планирования для достижения целей государственной </w:t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долгосрочный период;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формальное применение</w:t>
      </w:r>
      <w:r w:rsidRPr="007658CE">
        <w:rPr>
          <w:rFonts w:ascii="Times New Roman" w:hAnsi="Times New Roman" w:cs="Times New Roman"/>
          <w:sz w:val="28"/>
          <w:szCs w:val="28"/>
        </w:rPr>
        <w:t xml:space="preserve"> и неиспользование в полной мере новых </w:t>
      </w:r>
      <w:r w:rsidRPr="007658CE">
        <w:rPr>
          <w:rFonts w:ascii="Times New Roman" w:hAnsi="Times New Roman" w:cs="Times New Roman"/>
          <w:i/>
          <w:sz w:val="28"/>
          <w:szCs w:val="28"/>
        </w:rPr>
        <w:t>форм оказания и финансового обеспечения государственных и муниципальных услуг</w:t>
      </w:r>
      <w:r w:rsidRPr="007658CE">
        <w:rPr>
          <w:rFonts w:ascii="Times New Roman" w:hAnsi="Times New Roman" w:cs="Times New Roman"/>
          <w:sz w:val="28"/>
          <w:szCs w:val="28"/>
        </w:rPr>
        <w:t>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недостаточно высокий уровень качества управления</w:t>
      </w:r>
      <w:r w:rsidRPr="007658CE">
        <w:rPr>
          <w:rFonts w:ascii="Times New Roman" w:hAnsi="Times New Roman" w:cs="Times New Roman"/>
          <w:sz w:val="28"/>
          <w:szCs w:val="28"/>
        </w:rPr>
        <w:t xml:space="preserve"> государственными финансами;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отсутствие современной системы</w:t>
      </w:r>
      <w:r w:rsidRPr="007658CE">
        <w:rPr>
          <w:rFonts w:ascii="Times New Roman" w:hAnsi="Times New Roman" w:cs="Times New Roman"/>
          <w:sz w:val="28"/>
          <w:szCs w:val="28"/>
        </w:rPr>
        <w:t xml:space="preserve"> </w:t>
      </w:r>
      <w:r w:rsidRPr="007658CE">
        <w:rPr>
          <w:rFonts w:ascii="Times New Roman" w:hAnsi="Times New Roman" w:cs="Times New Roman"/>
          <w:i/>
          <w:sz w:val="28"/>
          <w:szCs w:val="28"/>
        </w:rPr>
        <w:t>внутреннего финансового контроля и внутреннего финансового аудита;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разрозненность и фрагментарность информационных систем</w:t>
      </w:r>
      <w:r w:rsidRPr="007658CE">
        <w:rPr>
          <w:rFonts w:ascii="Times New Roman" w:hAnsi="Times New Roman" w:cs="Times New Roman"/>
          <w:sz w:val="28"/>
          <w:szCs w:val="28"/>
        </w:rPr>
        <w:t xml:space="preserve">, </w:t>
      </w:r>
      <w:r w:rsidRPr="007658CE">
        <w:rPr>
          <w:rFonts w:ascii="Times New Roman" w:hAnsi="Times New Roman" w:cs="Times New Roman"/>
          <w:i/>
          <w:sz w:val="28"/>
          <w:szCs w:val="28"/>
        </w:rPr>
        <w:t>используемых для</w:t>
      </w:r>
      <w:r w:rsidRPr="007658CE">
        <w:rPr>
          <w:rFonts w:ascii="Times New Roman" w:hAnsi="Times New Roman" w:cs="Times New Roman"/>
          <w:sz w:val="28"/>
          <w:szCs w:val="28"/>
        </w:rPr>
        <w:t xml:space="preserve"> </w:t>
      </w:r>
      <w:r w:rsidRPr="007658CE">
        <w:rPr>
          <w:rFonts w:ascii="Times New Roman" w:hAnsi="Times New Roman" w:cs="Times New Roman"/>
          <w:i/>
          <w:sz w:val="28"/>
          <w:szCs w:val="28"/>
        </w:rPr>
        <w:t>целей государственного и муниципального управления</w:t>
      </w:r>
      <w:r w:rsidRPr="007658CE">
        <w:rPr>
          <w:rFonts w:ascii="Times New Roman" w:hAnsi="Times New Roman" w:cs="Times New Roman"/>
          <w:sz w:val="28"/>
          <w:szCs w:val="28"/>
        </w:rPr>
        <w:t>, в том числе в сфере управления общественными финансами;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i/>
          <w:sz w:val="28"/>
          <w:szCs w:val="28"/>
        </w:rPr>
        <w:t>-</w:t>
      </w:r>
      <w:r w:rsidRPr="007658CE">
        <w:rPr>
          <w:rFonts w:ascii="Times New Roman" w:hAnsi="Times New Roman" w:cs="Times New Roman"/>
          <w:i/>
          <w:sz w:val="28"/>
          <w:szCs w:val="28"/>
        </w:rPr>
        <w:tab/>
        <w:t xml:space="preserve"> несоответствие сроков обработки и представления статистических данных, </w:t>
      </w:r>
      <w:r w:rsidRPr="007658CE">
        <w:rPr>
          <w:rFonts w:ascii="Times New Roman" w:hAnsi="Times New Roman" w:cs="Times New Roman"/>
          <w:sz w:val="28"/>
          <w:szCs w:val="28"/>
        </w:rPr>
        <w:t>на основе которых в соответствии с действующими процедурами рассчитываются индикаторы и показатели государственных программ Российской Федерации,</w:t>
      </w:r>
      <w:r w:rsidRPr="007658CE">
        <w:rPr>
          <w:rFonts w:ascii="Times New Roman" w:hAnsi="Times New Roman" w:cs="Times New Roman"/>
          <w:i/>
          <w:sz w:val="28"/>
          <w:szCs w:val="28"/>
        </w:rPr>
        <w:t xml:space="preserve"> срокам </w:t>
      </w:r>
      <w:proofErr w:type="gramStart"/>
      <w:r w:rsidRPr="007658CE">
        <w:rPr>
          <w:rFonts w:ascii="Times New Roman" w:hAnsi="Times New Roman" w:cs="Times New Roman"/>
          <w:i/>
          <w:sz w:val="28"/>
          <w:szCs w:val="28"/>
        </w:rPr>
        <w:t xml:space="preserve">проведения оценки эффективности реализации государственных программ </w:t>
      </w:r>
      <w:r w:rsidRPr="007658CE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7658CE">
        <w:rPr>
          <w:rFonts w:ascii="Times New Roman" w:hAnsi="Times New Roman" w:cs="Times New Roman"/>
          <w:i/>
          <w:sz w:val="28"/>
          <w:szCs w:val="28"/>
        </w:rPr>
        <w:t xml:space="preserve"> и формирования проекта федерального закона о федеральном бюджете </w:t>
      </w:r>
      <w:r w:rsidRPr="007658C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-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отсутствие эффективной методологической базы и ответственности</w:t>
      </w:r>
      <w:r w:rsidRPr="007658CE">
        <w:rPr>
          <w:rFonts w:ascii="Times New Roman" w:hAnsi="Times New Roman" w:cs="Times New Roman"/>
          <w:sz w:val="28"/>
          <w:szCs w:val="28"/>
        </w:rPr>
        <w:t xml:space="preserve"> </w:t>
      </w:r>
      <w:r w:rsidRPr="007658CE">
        <w:rPr>
          <w:rFonts w:ascii="Times New Roman" w:hAnsi="Times New Roman" w:cs="Times New Roman"/>
          <w:i/>
          <w:sz w:val="28"/>
          <w:szCs w:val="28"/>
        </w:rPr>
        <w:t>за качество</w:t>
      </w:r>
      <w:r w:rsidRPr="007658CE">
        <w:rPr>
          <w:rFonts w:ascii="Times New Roman" w:hAnsi="Times New Roman" w:cs="Times New Roman"/>
          <w:sz w:val="28"/>
          <w:szCs w:val="28"/>
        </w:rPr>
        <w:t xml:space="preserve"> подготовки финансово-экономических обоснований проектов нормативных правовых актов, программ, инвестиционных проектов;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CE">
        <w:rPr>
          <w:rFonts w:ascii="Times New Roman" w:hAnsi="Times New Roman" w:cs="Times New Roman"/>
          <w:i/>
          <w:sz w:val="28"/>
          <w:szCs w:val="28"/>
        </w:rPr>
        <w:t>-</w:t>
      </w:r>
      <w:r w:rsidRPr="007658CE">
        <w:rPr>
          <w:rFonts w:ascii="Times New Roman" w:hAnsi="Times New Roman" w:cs="Times New Roman"/>
          <w:i/>
          <w:sz w:val="28"/>
          <w:szCs w:val="28"/>
        </w:rPr>
        <w:tab/>
        <w:t xml:space="preserve">отсутствие у ответственных исполнителей возможности влияния на объемы финансового обеспечения </w:t>
      </w:r>
      <w:r w:rsidRPr="007658CE">
        <w:rPr>
          <w:rFonts w:ascii="Times New Roman" w:hAnsi="Times New Roman" w:cs="Times New Roman"/>
          <w:sz w:val="28"/>
          <w:szCs w:val="28"/>
        </w:rPr>
        <w:t>реализации тех или иных мероприятий, в том числе</w:t>
      </w:r>
      <w:r w:rsidRPr="007658CE">
        <w:rPr>
          <w:rFonts w:ascii="Times New Roman" w:hAnsi="Times New Roman" w:cs="Times New Roman"/>
          <w:i/>
          <w:sz w:val="28"/>
          <w:szCs w:val="28"/>
        </w:rPr>
        <w:t xml:space="preserve"> перераспределения бюджетных средств между мероприятиями (соисполнителями, участниками), </w:t>
      </w:r>
      <w:r w:rsidRPr="007658CE">
        <w:rPr>
          <w:rFonts w:ascii="Times New Roman" w:hAnsi="Times New Roman" w:cs="Times New Roman"/>
          <w:sz w:val="28"/>
          <w:szCs w:val="28"/>
        </w:rPr>
        <w:t>возможно, с определенными ограничениями</w:t>
      </w:r>
      <w:r w:rsidRPr="007658CE">
        <w:rPr>
          <w:rFonts w:ascii="Times New Roman" w:hAnsi="Times New Roman" w:cs="Times New Roman"/>
          <w:i/>
          <w:sz w:val="28"/>
          <w:szCs w:val="28"/>
        </w:rPr>
        <w:t>.</w:t>
      </w:r>
    </w:p>
    <w:p w:rsidR="00B07C8D" w:rsidRPr="007658CE" w:rsidRDefault="00B07C8D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 xml:space="preserve">- </w:t>
      </w:r>
      <w:r w:rsidRPr="007658CE">
        <w:rPr>
          <w:rFonts w:ascii="Times New Roman" w:hAnsi="Times New Roman" w:cs="Times New Roman"/>
          <w:sz w:val="28"/>
          <w:szCs w:val="28"/>
        </w:rPr>
        <w:tab/>
      </w:r>
      <w:r w:rsidRPr="007658CE">
        <w:rPr>
          <w:rFonts w:ascii="Times New Roman" w:hAnsi="Times New Roman" w:cs="Times New Roman"/>
          <w:i/>
          <w:sz w:val="28"/>
          <w:szCs w:val="28"/>
        </w:rPr>
        <w:t>наличие</w:t>
      </w:r>
      <w:r w:rsidRPr="007658CE">
        <w:rPr>
          <w:rFonts w:ascii="Times New Roman" w:hAnsi="Times New Roman" w:cs="Times New Roman"/>
          <w:sz w:val="28"/>
          <w:szCs w:val="28"/>
        </w:rPr>
        <w:t xml:space="preserve"> в нормативных правовых актах, регулирующих бюджетные правоотношения, переходных положений и </w:t>
      </w:r>
      <w:r w:rsidRPr="007658CE">
        <w:rPr>
          <w:rFonts w:ascii="Times New Roman" w:hAnsi="Times New Roman" w:cs="Times New Roman"/>
          <w:i/>
          <w:sz w:val="28"/>
          <w:szCs w:val="28"/>
        </w:rPr>
        <w:t>норм временного применения, а также отдельных неурегулированных вопросов</w:t>
      </w:r>
      <w:r w:rsidRPr="007658CE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B07C8D" w:rsidRPr="007658CE" w:rsidRDefault="00B07C8D" w:rsidP="00B07C8D">
      <w:pPr>
        <w:jc w:val="both"/>
        <w:rPr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 xml:space="preserve">В целом сложившееся в данной сфере правовое регулирование и методическое обеспечение пока имеют ряд пробелов и внутренних противоречий, даже на государственном уровне, не говоря уже </w:t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муниципальном. При этом управление общественными финансами в 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государственной политики. 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 xml:space="preserve">К сожалению, </w:t>
      </w:r>
      <w:r w:rsidRPr="007658CE">
        <w:rPr>
          <w:rFonts w:ascii="Times New Roman" w:hAnsi="Times New Roman" w:cs="Times New Roman"/>
          <w:sz w:val="28"/>
          <w:szCs w:val="28"/>
          <w:u w:val="single"/>
        </w:rPr>
        <w:t>не совершенствуется реализующая БК  РФ правоприменительная практика для муниципального уровня</w:t>
      </w:r>
      <w:r w:rsidRPr="007658CE">
        <w:rPr>
          <w:rFonts w:ascii="Times New Roman" w:hAnsi="Times New Roman" w:cs="Times New Roman"/>
          <w:sz w:val="28"/>
          <w:szCs w:val="28"/>
        </w:rPr>
        <w:t xml:space="preserve">. А она  существенно отклоняется от предусмотренных нормативными правовыми актами и методическими документами принципов и механизмов.  Следует отметить, что одной из причин этих отклонений  является </w:t>
      </w:r>
      <w:r w:rsidRPr="007658CE">
        <w:rPr>
          <w:rFonts w:ascii="Times New Roman" w:hAnsi="Times New Roman" w:cs="Times New Roman"/>
          <w:i/>
          <w:sz w:val="28"/>
          <w:szCs w:val="28"/>
        </w:rPr>
        <w:t>полное отсутствие возможности применения реальных мер принуждения</w:t>
      </w:r>
      <w:r w:rsidRPr="007658CE">
        <w:rPr>
          <w:rFonts w:ascii="Times New Roman" w:hAnsi="Times New Roman" w:cs="Times New Roman"/>
          <w:sz w:val="28"/>
          <w:szCs w:val="28"/>
        </w:rPr>
        <w:t xml:space="preserve"> за   нарушения бюджетного законодательства и бюджетные нарушения </w:t>
      </w:r>
      <w:r w:rsidRPr="007658CE">
        <w:rPr>
          <w:rFonts w:ascii="Times New Roman" w:hAnsi="Times New Roman" w:cs="Times New Roman"/>
          <w:i/>
          <w:sz w:val="28"/>
          <w:szCs w:val="28"/>
        </w:rPr>
        <w:t>органами муниципального финансового контроля</w:t>
      </w:r>
      <w:r w:rsidRPr="007658CE">
        <w:rPr>
          <w:rFonts w:ascii="Times New Roman" w:hAnsi="Times New Roman" w:cs="Times New Roman"/>
          <w:sz w:val="28"/>
          <w:szCs w:val="28"/>
        </w:rPr>
        <w:t xml:space="preserve">, в отличие </w:t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государственных.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7658CE">
        <w:rPr>
          <w:rFonts w:ascii="Times New Roman" w:hAnsi="Times New Roman" w:cs="Times New Roman"/>
          <w:sz w:val="28"/>
          <w:szCs w:val="28"/>
        </w:rPr>
        <w:t>Переход к "программному бюджету", создание полноценной работоспособной системы мониторинга государственных (муниципальных) программ требует усиления контроля за разработкой и выполнением государственных (муниципальных) программ, поскольку такой контроль должен происходить не только на стадии обсуждения проектов закона о бюджете, но и на всем их "жизненном цикле" - при разработке, поэтапной реализации, мониторинге, экспертизе, оценке результативности государственных (муниципальных) программ.</w:t>
      </w:r>
      <w:proofErr w:type="gramEnd"/>
      <w:r w:rsidRPr="007658CE">
        <w:rPr>
          <w:rFonts w:ascii="Times New Roman" w:hAnsi="Times New Roman" w:cs="Times New Roman"/>
          <w:sz w:val="28"/>
          <w:szCs w:val="28"/>
        </w:rPr>
        <w:t xml:space="preserve"> Это, в свою очередь, потребует организации серьезного взаимодействия между органами внешнего и внутреннего финансового контроля (что должно найти соответствующее отражение  в нормативно-правовых актах об организации  бюджетного процесса) и, что самое главное, безусловного исполнения ими ряда вновь установленных в 2013 году полномочий. </w:t>
      </w:r>
    </w:p>
    <w:p w:rsidR="00B07C8D" w:rsidRPr="007658CE" w:rsidRDefault="00B07C8D" w:rsidP="00B07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>Анализ практики перехода к программному бюджету в различных регионах показал, что  сам переход на программный бюджет  еще не является залогом эффективного и результативного использования бюджетных  средств и выявил ряд проблем. Эффективность "программного" бюджета, как одного из инструментов реализации государственной и муниципальной политики, будет определяться результатами комплексной реформы государственного и муниципального управления.</w:t>
      </w:r>
    </w:p>
    <w:p w:rsidR="00B07C8D" w:rsidRPr="007658CE" w:rsidRDefault="00B07C8D" w:rsidP="00B07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>Итоговая эффективность программного бюджета в значительной степени зависит от уровня работы государственного и муниципального финансового контроля. Необходимо внедрить в бюджетный процесс механизмы мониторинга, оценки результатов деятельности по реализации программ, что позволит оперативно реагировать на отклонения от заданных параметров бюджетного планирования. Так, контрольно-счётные органы должны анализировать: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 xml:space="preserve">1) </w:t>
      </w:r>
      <w:r w:rsidRPr="007658CE">
        <w:rPr>
          <w:rFonts w:ascii="Times New Roman" w:hAnsi="Times New Roman" w:cs="Times New Roman"/>
          <w:i/>
          <w:sz w:val="28"/>
          <w:szCs w:val="28"/>
        </w:rPr>
        <w:t>эффективность программ</w:t>
      </w:r>
      <w:r w:rsidRPr="007658C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региона, их адаптацию к основным требованиям программного бюджета;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 xml:space="preserve">2) </w:t>
      </w:r>
      <w:r w:rsidRPr="007658CE">
        <w:rPr>
          <w:rFonts w:ascii="Times New Roman" w:hAnsi="Times New Roman" w:cs="Times New Roman"/>
          <w:i/>
          <w:sz w:val="28"/>
          <w:szCs w:val="28"/>
        </w:rPr>
        <w:t>целевые программы, в целях отмены неэффективных</w:t>
      </w:r>
      <w:r w:rsidRPr="007658CE">
        <w:rPr>
          <w:rFonts w:ascii="Times New Roman" w:hAnsi="Times New Roman" w:cs="Times New Roman"/>
          <w:sz w:val="28"/>
          <w:szCs w:val="28"/>
        </w:rPr>
        <w:t>, либо неисполняемых программных документов;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 xml:space="preserve">3) </w:t>
      </w:r>
      <w:r w:rsidRPr="007658CE">
        <w:rPr>
          <w:rFonts w:ascii="Times New Roman" w:hAnsi="Times New Roman" w:cs="Times New Roman"/>
          <w:i/>
          <w:sz w:val="28"/>
          <w:szCs w:val="28"/>
        </w:rPr>
        <w:t>состояние нормативно-правовой базы,</w:t>
      </w:r>
      <w:r w:rsidRPr="007658CE">
        <w:rPr>
          <w:rFonts w:ascii="Times New Roman" w:hAnsi="Times New Roman" w:cs="Times New Roman"/>
          <w:sz w:val="28"/>
          <w:szCs w:val="28"/>
        </w:rPr>
        <w:t xml:space="preserve"> позволяющей использовать инструменты программно-целевого управления.</w:t>
      </w:r>
    </w:p>
    <w:p w:rsidR="00B07C8D" w:rsidRPr="007658CE" w:rsidRDefault="00B07C8D" w:rsidP="00B07C8D">
      <w:pPr>
        <w:jc w:val="both"/>
        <w:rPr>
          <w:sz w:val="28"/>
          <w:szCs w:val="28"/>
        </w:rPr>
      </w:pPr>
      <w:r w:rsidRPr="007658CE">
        <w:rPr>
          <w:sz w:val="28"/>
          <w:szCs w:val="28"/>
        </w:rPr>
        <w:tab/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8C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большинстве муниципальных образований России  переход на программный бюджет будет осуществляться в 2015 году, однако </w:t>
      </w:r>
      <w:r w:rsidRPr="007658CE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нормативно-правовая база осуществления бюджетного процесса даже в крупнейших городах России к этим условиям пока не адаптирована.  </w:t>
      </w:r>
    </w:p>
    <w:p w:rsidR="00B07C8D" w:rsidRPr="007658CE" w:rsidRDefault="00B07C8D" w:rsidP="000739E7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>Важнейшим элементом программно-целевого метода управления является оценка эффективности принимаемых программ. Типовая методика оценки эффективности госпрограмм утверждена приказом Минэкономразвития России от 20 ноября 2013года №690.  Однако анализ  показал, что в большей степени оценка результативности и эффективности государственных программ все же будет зависеть не от методики, а от индикаторов и показателей реализации, заложенных в программы. В России  на текущий момент сложилась ситуация, когда параллельно существует огромное число систем оценок.  Так, в существенном числе региональных программ присутствуют показатели, которые могут  улучшаться даже в случае реального ухудшения ситуации, остаются показатели, не имеющие количественной оценки или не подразумевающие динамику.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 xml:space="preserve">Необходимо не только предпринимать шаги по унификации механизмов оценки  эффективности и результативности программ, но и решать вопросы о возможных действиях органов управления в случае неэффективности программ, их неполном финансировании, изменении приоритетов, некачественном исполнении, </w:t>
      </w:r>
      <w:proofErr w:type="spellStart"/>
      <w:r w:rsidRPr="007658C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658CE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>Таким образом, на сегодняшний день имеются сложные противоречия между целями и показателями их достижения различных уровней государственного управления, начиная с федеральных стратегических прогнозных  документов и заканчивая документами муниципальных образований.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ab/>
        <w:t xml:space="preserve">Отсутствуют четкие, конкретные, а главное понятные правила построения системы взаимодействия трех уровней управления государством. Следовательно, недостаточно четко определены и условия исполнения функций государства, целевых установок и приоритетов. Дополнительные трудности создает нестабильная нормативная база Российской Федерации, </w:t>
      </w:r>
      <w:r w:rsidRPr="007658CE">
        <w:rPr>
          <w:rFonts w:ascii="Times New Roman" w:hAnsi="Times New Roman" w:cs="Times New Roman"/>
          <w:i/>
          <w:sz w:val="28"/>
          <w:szCs w:val="28"/>
        </w:rPr>
        <w:t xml:space="preserve">отсутствие в ней положений об ответственности должностных лиц и, </w:t>
      </w:r>
      <w:r w:rsidRPr="007658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соответственно, правоприменительной практики по их принуждению  к исполнению </w:t>
      </w:r>
      <w:r w:rsidRPr="007658CE">
        <w:rPr>
          <w:rFonts w:ascii="Times New Roman" w:hAnsi="Times New Roman" w:cs="Times New Roman"/>
          <w:b/>
          <w:i/>
          <w:sz w:val="28"/>
          <w:szCs w:val="28"/>
        </w:rPr>
        <w:t>Закона.</w:t>
      </w:r>
    </w:p>
    <w:p w:rsidR="00B07C8D" w:rsidRPr="007658CE" w:rsidRDefault="00B07C8D" w:rsidP="00B07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8CE">
        <w:rPr>
          <w:rFonts w:ascii="Times New Roman" w:hAnsi="Times New Roman" w:cs="Times New Roman"/>
          <w:sz w:val="28"/>
          <w:szCs w:val="28"/>
        </w:rPr>
        <w:t>Насущной задачей контрольно-счетных органов в  модернизации бюджетного процесса в условиях внедрения программно-целевых методов управления можно считать организацию эффективного взаимодействия с  органами местного самоуправления и гражданским обществом, переход к осуществлению основных полномочий в полном объеме, а также накопление и изучение передового опыта, адаптация методологии, применяемой органами государственного финансового контроля.</w:t>
      </w: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sz w:val="28"/>
          <w:szCs w:val="28"/>
        </w:rPr>
      </w:pPr>
    </w:p>
    <w:p w:rsidR="00B07C8D" w:rsidRPr="007658CE" w:rsidRDefault="00B07C8D" w:rsidP="00B07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C8D" w:rsidRPr="007658CE" w:rsidRDefault="00B07C8D" w:rsidP="00B07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76" w:rsidRPr="007658CE" w:rsidRDefault="00991976"/>
    <w:sectPr w:rsidR="00991976" w:rsidRPr="007658CE" w:rsidSect="00CB319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68" w:rsidRDefault="00E10168">
      <w:pPr>
        <w:spacing w:after="0" w:line="240" w:lineRule="auto"/>
      </w:pPr>
      <w:r>
        <w:separator/>
      </w:r>
    </w:p>
  </w:endnote>
  <w:endnote w:type="continuationSeparator" w:id="0">
    <w:p w:rsidR="00E10168" w:rsidRDefault="00E1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68" w:rsidRDefault="00E10168">
      <w:pPr>
        <w:spacing w:after="0" w:line="240" w:lineRule="auto"/>
      </w:pPr>
      <w:r>
        <w:separator/>
      </w:r>
    </w:p>
  </w:footnote>
  <w:footnote w:type="continuationSeparator" w:id="0">
    <w:p w:rsidR="00E10168" w:rsidRDefault="00E1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422981"/>
      <w:docPartObj>
        <w:docPartGallery w:val="Page Numbers (Top of Page)"/>
        <w:docPartUnique/>
      </w:docPartObj>
    </w:sdtPr>
    <w:sdtEndPr/>
    <w:sdtContent>
      <w:p w:rsidR="003A2EE7" w:rsidRDefault="007658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8A">
          <w:rPr>
            <w:noProof/>
          </w:rPr>
          <w:t>8</w:t>
        </w:r>
        <w:r>
          <w:fldChar w:fldCharType="end"/>
        </w:r>
      </w:p>
    </w:sdtContent>
  </w:sdt>
  <w:p w:rsidR="003A2EE7" w:rsidRDefault="00E101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8D"/>
    <w:rsid w:val="000167EF"/>
    <w:rsid w:val="0003409E"/>
    <w:rsid w:val="000739E7"/>
    <w:rsid w:val="00087BFD"/>
    <w:rsid w:val="000A35BE"/>
    <w:rsid w:val="000C4366"/>
    <w:rsid w:val="000D7070"/>
    <w:rsid w:val="00102149"/>
    <w:rsid w:val="00174BB0"/>
    <w:rsid w:val="001A1828"/>
    <w:rsid w:val="001D00FB"/>
    <w:rsid w:val="001D4881"/>
    <w:rsid w:val="00212944"/>
    <w:rsid w:val="00234877"/>
    <w:rsid w:val="002437E7"/>
    <w:rsid w:val="002C20C9"/>
    <w:rsid w:val="003110AA"/>
    <w:rsid w:val="00331797"/>
    <w:rsid w:val="003C488C"/>
    <w:rsid w:val="003D373D"/>
    <w:rsid w:val="003D6496"/>
    <w:rsid w:val="004250BA"/>
    <w:rsid w:val="00463365"/>
    <w:rsid w:val="00466C62"/>
    <w:rsid w:val="00480FD9"/>
    <w:rsid w:val="004879E0"/>
    <w:rsid w:val="00490AF9"/>
    <w:rsid w:val="004A0007"/>
    <w:rsid w:val="004A743E"/>
    <w:rsid w:val="004D3566"/>
    <w:rsid w:val="004F30C5"/>
    <w:rsid w:val="00502E04"/>
    <w:rsid w:val="005224AE"/>
    <w:rsid w:val="00522CE2"/>
    <w:rsid w:val="005F1159"/>
    <w:rsid w:val="00642F5C"/>
    <w:rsid w:val="006937B1"/>
    <w:rsid w:val="006F5752"/>
    <w:rsid w:val="00720CA2"/>
    <w:rsid w:val="00742264"/>
    <w:rsid w:val="00744A10"/>
    <w:rsid w:val="007549FB"/>
    <w:rsid w:val="007658CE"/>
    <w:rsid w:val="007E2DA5"/>
    <w:rsid w:val="007F348A"/>
    <w:rsid w:val="008C6D97"/>
    <w:rsid w:val="008D2E76"/>
    <w:rsid w:val="008E2781"/>
    <w:rsid w:val="009264B2"/>
    <w:rsid w:val="00961EA7"/>
    <w:rsid w:val="00991976"/>
    <w:rsid w:val="00A06517"/>
    <w:rsid w:val="00A3341C"/>
    <w:rsid w:val="00A55AAB"/>
    <w:rsid w:val="00AD1565"/>
    <w:rsid w:val="00AE50C2"/>
    <w:rsid w:val="00B019B8"/>
    <w:rsid w:val="00B03768"/>
    <w:rsid w:val="00B07C8D"/>
    <w:rsid w:val="00B46D2B"/>
    <w:rsid w:val="00B57CC6"/>
    <w:rsid w:val="00BC7A31"/>
    <w:rsid w:val="00C321ED"/>
    <w:rsid w:val="00C32991"/>
    <w:rsid w:val="00C35A45"/>
    <w:rsid w:val="00C37DE6"/>
    <w:rsid w:val="00C800D7"/>
    <w:rsid w:val="00CA2A24"/>
    <w:rsid w:val="00CA491B"/>
    <w:rsid w:val="00CB1AFE"/>
    <w:rsid w:val="00CB3192"/>
    <w:rsid w:val="00CD51A1"/>
    <w:rsid w:val="00D00FB1"/>
    <w:rsid w:val="00D04458"/>
    <w:rsid w:val="00D1785E"/>
    <w:rsid w:val="00D2029D"/>
    <w:rsid w:val="00D54FEC"/>
    <w:rsid w:val="00D55ABB"/>
    <w:rsid w:val="00D874B7"/>
    <w:rsid w:val="00E00109"/>
    <w:rsid w:val="00E10168"/>
    <w:rsid w:val="00E73D9D"/>
    <w:rsid w:val="00EE2AE7"/>
    <w:rsid w:val="00F238D8"/>
    <w:rsid w:val="00F37C67"/>
    <w:rsid w:val="00FD2C8B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C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C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300932DE3B66796F8A4E8CC951FFAB0E29DC9771A24ABC80E77FD23253977F9D65161A5E0B5dDI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Буренок Е.В.</cp:lastModifiedBy>
  <cp:revision>5</cp:revision>
  <dcterms:created xsi:type="dcterms:W3CDTF">2014-10-09T11:51:00Z</dcterms:created>
  <dcterms:modified xsi:type="dcterms:W3CDTF">2014-10-09T12:30:00Z</dcterms:modified>
</cp:coreProperties>
</file>