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B5" w:rsidRPr="00E77FB5" w:rsidRDefault="00E77FB5" w:rsidP="00E77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МУНИЦИПАЛЬНЫХ КОНТРОЛЬНО-СЧЕТНЫХ ОРГАНОВ</w:t>
      </w:r>
    </w:p>
    <w:p w:rsidR="00E77FB5" w:rsidRPr="00E77FB5" w:rsidRDefault="00E77FB5" w:rsidP="00E77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НАУЧНО-МЕТОДИЧЕСКАЯ КОМИССИЯ</w:t>
      </w: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СФК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(типовой)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FB5" w:rsidRPr="00E77FB5" w:rsidRDefault="00E77FB5" w:rsidP="00E77F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E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АУДИТА В СФЕРЕ ЗАКУПОК </w:t>
      </w:r>
      <w:r w:rsidRPr="00E77F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77FB5" w:rsidRPr="00E77FB5" w:rsidRDefault="00E77FB5" w:rsidP="00E7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Президиума </w:t>
      </w:r>
    </w:p>
    <w:p w:rsidR="00E77FB5" w:rsidRPr="00E77FB5" w:rsidRDefault="00E77FB5" w:rsidP="00E7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МКСО,</w:t>
      </w:r>
    </w:p>
    <w:p w:rsidR="00E77FB5" w:rsidRPr="00E77FB5" w:rsidRDefault="00E77FB5" w:rsidP="00E7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</w:t>
      </w:r>
    </w:p>
    <w:p w:rsidR="00E77FB5" w:rsidRPr="00E77FB5" w:rsidRDefault="00E77FB5" w:rsidP="00E7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 Союза МКСО</w:t>
      </w:r>
    </w:p>
    <w:p w:rsidR="00E77FB5" w:rsidRPr="00E77FB5" w:rsidRDefault="00FF0AC2" w:rsidP="00E7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E77FB5"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77FB5" w:rsidRPr="00E77F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="00E77FB5"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7FB5" w:rsidRPr="00E77FB5" w:rsidSect="002A15E0">
          <w:headerReference w:type="even" r:id="rId8"/>
          <w:headerReference w:type="default" r:id="rId9"/>
          <w:footerReference w:type="even" r:id="rId10"/>
          <w:pgSz w:w="11906" w:h="16838" w:code="9"/>
          <w:pgMar w:top="1134" w:right="851" w:bottom="1134" w:left="1418" w:header="340" w:footer="1077" w:gutter="0"/>
          <w:cols w:space="708"/>
          <w:titlePg/>
          <w:docGrid w:linePitch="360"/>
        </w:sect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Содержание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E77FB5" w:rsidRPr="00E77FB5" w:rsidRDefault="00E77FB5" w:rsidP="00E77F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Общие положения……………………………………………………..………3</w:t>
      </w:r>
    </w:p>
    <w:p w:rsidR="00E77FB5" w:rsidRPr="00E77FB5" w:rsidRDefault="00E77FB5" w:rsidP="00E77F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аудита в сфере закупок…………………………………...……4</w:t>
      </w:r>
    </w:p>
    <w:p w:rsidR="00E77FB5" w:rsidRPr="00E77FB5" w:rsidRDefault="00E77FB5" w:rsidP="00E77F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 для проведения аудита в сфере закупок……...…5</w:t>
      </w:r>
    </w:p>
    <w:p w:rsidR="00E77FB5" w:rsidRPr="00E77FB5" w:rsidRDefault="00E77FB5" w:rsidP="00E77F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аудита в сфере закупок…………………………….……9</w:t>
      </w:r>
    </w:p>
    <w:p w:rsidR="00E77FB5" w:rsidRPr="00E77FB5" w:rsidRDefault="00E77FB5" w:rsidP="00E77FB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размещение обобщенной информации о результатах аудита в сфере закупок в единой информационной системе в сфере закупок………………………………………………………………………..18</w:t>
      </w:r>
    </w:p>
    <w:p w:rsidR="00E77FB5" w:rsidRPr="00E77FB5" w:rsidRDefault="00E77FB5" w:rsidP="00E77FB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структура представления данных о результатах аудита в сфере закупок  для подготовки обобщенной информации……………………………20</w:t>
      </w: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7FB5" w:rsidRPr="00E77FB5" w:rsidSect="002A15E0">
          <w:pgSz w:w="11906" w:h="16838" w:code="9"/>
          <w:pgMar w:top="1134" w:right="851" w:bottom="1134" w:left="1418" w:header="340" w:footer="1077" w:gutter="0"/>
          <w:cols w:space="708"/>
          <w:titlePg/>
          <w:docGrid w:linePitch="360"/>
        </w:sect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 Общие положения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Основанием для разработки Стандарта является пункт 2.2. Положения о Научно-методической комиссии Союза МКСО, утвержденного решением Президиума Союза МКСО 24 мая </w:t>
      </w:r>
      <w:smartTag w:uri="urn:schemas-microsoft-com:office:smarttags" w:element="metricconverter">
        <w:smartTagPr>
          <w:attr w:name="ProductID" w:val="2010 г"/>
        </w:smartTagPr>
        <w:r w:rsidRPr="00E77F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 г</w:t>
        </w:r>
      </w:smartTag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протокол № 3 (18), в редакции изменений, утвержденных решением Президиума Союза МКСО 12 декабря </w:t>
      </w:r>
      <w:smartTag w:uri="urn:schemas-microsoft-com:office:smarttags" w:element="metricconverter">
        <w:smartTagPr>
          <w:attr w:name="ProductID" w:val="2011 г"/>
        </w:smartTagPr>
        <w:r w:rsidRPr="00E77F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 г</w:t>
        </w:r>
      </w:smartTag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протокол № 6 (26).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финансового контроля «Проведение аудита в сфере закупок» (далее – Стандарт) разработан на основе методических рекомендаций по проведению аудита в сфере закупок, утвержденных </w:t>
      </w:r>
      <w:r w:rsidRPr="00E7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Коллегией Счетной палаты Российской Федерации (протокол от 21 марта </w:t>
      </w:r>
      <w:smartTag w:uri="urn:schemas-microsoft-com:office:smarttags" w:element="metricconverter">
        <w:smartTagPr>
          <w:attr w:name="ProductID" w:val="2014 г"/>
        </w:smartTagPr>
        <w:r w:rsidRPr="00E77F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 г</w:t>
        </w:r>
      </w:smartTag>
      <w:r w:rsidRPr="00E7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 15К (961)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Стандарта является установление рекомендуемых для выполнения методов (способов), процедур, применяемых в процессе осуществления муниципальными контрольно-счетными органами аудита в сфере закупок, в том числе при проведении комплекса контрольных и экспертно-аналитических мероприятий по аудиту формирования и контролю исполнения бюджета муниципального образования, а также при проведении иных проверок, в которых деятельность в сфере закупок проверяется как одна из составляющих деятельности объектов аудита</w:t>
      </w:r>
      <w:proofErr w:type="gramEnd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(контроля).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Задачами Стандарта являются определение: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задач, предмета и объектов аудита в сфере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основных источников информации для проведения аудита в сфере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этапов проведения аудита в сфере закупок и их содержания;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порядка подготовки и размещения обобщенной информации о результатах аудита в сфере закупок в единой информационной системе.</w:t>
      </w:r>
    </w:p>
    <w:p w:rsidR="00E77FB5" w:rsidRPr="00E77FB5" w:rsidRDefault="00E77FB5" w:rsidP="00E7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Основные понятия, используемые в настоящем Стандарте, соответствуют понятиям, установленным ст. 3 Федерального закона от 05.04.2013 № 44-ФЗ "О контрактной системе в сфере закупок товаров, работ, услуг для обеспечения государственных и муниципальных нужд" (далее – Закон №  44-ФЗ).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Содержание аудита в сфере закупок</w:t>
      </w:r>
    </w:p>
    <w:p w:rsidR="00E77FB5" w:rsidRPr="00E77FB5" w:rsidRDefault="00E77FB5" w:rsidP="00E7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FB5" w:rsidRPr="00E77FB5" w:rsidRDefault="00E77FB5" w:rsidP="00E7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 Аудит в сфере закупок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7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E77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вид внешнего муниципального контроля, осуществляемого муниципальным контрольно-счетным органом в соответствии с полномочиями, установленными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98 Закона № 44</w:t>
      </w:r>
      <w:bookmarkStart w:id="1" w:name="Par160"/>
      <w:bookmarkStart w:id="2" w:name="Par161"/>
      <w:bookmarkEnd w:id="1"/>
      <w:bookmarkEnd w:id="2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E7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Итогом аудита в сфере закупок должна стать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оценка уровня обеспечения муниципальных нужд с учетом затрат бюджетных средств,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обоснованности планирования закупок, включая обоснованность цены закупки, результативности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Задачи аудита в сфере закупок: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Calibri" w:hAnsi="Times New Roman" w:cs="Times New Roman"/>
          <w:sz w:val="24"/>
          <w:szCs w:val="24"/>
        </w:rPr>
        <w:t>- проверка,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Pr="00E77F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 Предметом аудита в сфере закупок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процесс расходования средств бюджета муниципального образования,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 В процессе проведения аудита в сфере закупок проверяются, анализируются и оцениваются: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процесс планирования закупок;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законность, своевременность, обоснованность, целесообразность расходов на закупки, эффективность и результаты использования бюджетных средств;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ведомственного контроля в сфере закупок;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в сфере закупок, осуществляемого заказчиком.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 Объектами аудита (контроля) в сфере закупок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заказчики, на которых распространяются контрольные полномочия контрольно-счетного органа муниципального образования.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системы ведомственного контроля в сфере закупок, системы контроля в сфере закупок, осуществляемого заказчиком.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 в сфере закупок может быть осуществлен путем проведения контрольного или экспертно-аналитического мероприятия, а также отдельным вопросом мероприятия. 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Источники информации для проведения аудита в сфере закупок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проведен</w:t>
      </w: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ии ау</w:t>
      </w:r>
      <w:proofErr w:type="gramEnd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дита в сфере закупок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рекомендуется использовать следующие источники информации: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 законодательство о контрактной системе, включая Закон № 44-ФЗ </w:t>
      </w:r>
      <w:r w:rsidRPr="00E77FB5">
        <w:rPr>
          <w:rFonts w:ascii="Times New Roman" w:eastAsia="Calibri" w:hAnsi="Times New Roman" w:cs="Times New Roman"/>
          <w:sz w:val="24"/>
          <w:szCs w:val="24"/>
        </w:rPr>
        <w:t>и иные нормативные правовые акты о контрактной системе в сфере закупок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 внутренние документы заказчика: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документ о создании и регламентации работы комиссии (комиссий) по осуществлению закупок; 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документ, регламентирующий процедуры планирования, обоснования и осуществления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утвержденные</w:t>
      </w:r>
      <w:proofErr w:type="gramEnd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план и план-график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документ, регламентирующий проведение контроля в сфере закупок, осуществляемый заказчиком;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иные документы и информация в соответствии с целями проведения аудита в сфере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4) 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</w:t>
      </w: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zakupki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)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</w:t>
      </w:r>
      <w:bookmarkStart w:id="3" w:name="Par84"/>
      <w:bookmarkEnd w:id="3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планы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планы-графики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4" w:name="Par86"/>
      <w:bookmarkEnd w:id="4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информация о реализации планов и планов-графиков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  <w:proofErr w:type="gramEnd"/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реестр контрактов, включая копии заключенных контрактов;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реестр недобросовестных поставщиков (подрядчиков, исполнителей);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библиотека типовых контрактов, типовых условий контрактов;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реестр банковских гарантий;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каталоги товаров, работ, услуг для обеспечения государственных и муниципальных нужд;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реестр плановых и внеплановых проверок, включая реестр жалоб, их результатов и выданных предписаний;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отчеты заказчиков, предусмотренные Законом №  44-ФЗ;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5" w:name="Par98"/>
      <w:bookmarkEnd w:id="5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извещения об осуществлении закупок, документации о закупках, проекты контрактов, размещаемые при объявлении о закупке, в том числе изменения и разъяснения к ним;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информация, содержащаяся в протоколах определения поставщиков (подрядчиков, исполнителей);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информация о ходе и результатах о</w:t>
      </w:r>
      <w:r w:rsidRPr="00E77FB5">
        <w:rPr>
          <w:rFonts w:ascii="Times New Roman" w:eastAsia="Calibri" w:hAnsi="Times New Roman" w:cs="Times New Roman"/>
          <w:sz w:val="24"/>
          <w:szCs w:val="24"/>
        </w:rPr>
        <w:t>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результаты мониторинга закупок, аудита в сфере закупок, а также контроля в сфере закупок;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иная информация и документы, размещение которых предусмотрено Законом № 44-ФЗ и принятыми в соответствии с ним нормативными правовыми актами.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5) электронные площадки и информация, размещаемая на них, включая </w:t>
      </w:r>
      <w:r w:rsidRPr="00E77FB5">
        <w:rPr>
          <w:rFonts w:ascii="Times New Roman" w:eastAsia="Calibri" w:hAnsi="Times New Roman" w:cs="Times New Roman"/>
          <w:sz w:val="24"/>
          <w:szCs w:val="24"/>
        </w:rPr>
        <w:t>реестры участников электронного аукциона, получивших аккредитацию на электронной площадке;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6) официальные сайты заказчиков и информация, размещаемая на них, в том числе о планируемых закупках; 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Calibri" w:hAnsi="Times New Roman" w:cs="Times New Roman"/>
          <w:sz w:val="24"/>
          <w:szCs w:val="24"/>
        </w:rPr>
        <w:t>7) печатные издания, в которых публикуется информация о планируемых закупках;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8) данные статистического наблюдения; 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9) документы, подтверждающие поставку товаров, выполнение работ, оказание услуг,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</w:t>
      </w:r>
      <w:proofErr w:type="gramEnd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товары, работы и услуги достигли конечных потребителей, в интересах которых осуществлялась закупка;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10) результаты предыдущих проверок соответствующих контрольных и надзорных органов</w:t>
      </w:r>
      <w:r w:rsidRPr="00E77FB5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11) 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12) электронные базы данных органов исполнительной власти;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13) интернет-сайты компаний-производителей товаров, работ, услуг;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14) иная информация (документы, сведения), полученная от экспертов, в том числе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Этапы проведения аудита в сфере закупок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в сфере закупок включает в себя три этапа: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 Подготовительный этап аудита в сфере закупок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мероприятия.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анализа специфики предмета и объекта аудита рекомендуется </w:t>
      </w:r>
      <w:r w:rsidRPr="00E77FB5">
        <w:rPr>
          <w:rFonts w:ascii="Times New Roman" w:eastAsia="Calibri" w:hAnsi="Times New Roman" w:cs="Times New Roman"/>
          <w:sz w:val="24"/>
          <w:szCs w:val="24"/>
        </w:rPr>
        <w:t>выявить и проанализировать существующие риски неэффективного использования бюджетных средств.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данных и информации на подготовительном этапе рекомендуется </w:t>
      </w: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предмету аудита в сфере закупок, из других открытых источников (в том числе единая информационная система в сфере закупок, официальный сайт 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zakupki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, электронные торговые площадки, официальные сайты</w:t>
      </w:r>
      <w:proofErr w:type="gramEnd"/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 контрольных органов в сфере закупок, официальные сайты объектов аудита (контроля), данные государственной статистики).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программы мероприятия</w:t>
      </w: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типовым стандартом внешнего муниципального финансового контроля «Проведение экспертно-аналитического мероприятия», утвержденного решением Президиума Союза МКСО (протокол заседания от 19.05.2013 г. № 2 (33), типовым стандартом внешнего муниципального финансового контроля «Общие правила проведения контрольного мероприятия», утвержденного решением Президиума Союза МКСО (протокол заседания от 25.09.2012 г. № 4 (30).</w:t>
      </w:r>
      <w:proofErr w:type="gramEnd"/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Основной этап аудита в сфере закупок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основном этапе аудита</w:t>
      </w:r>
      <w:r w:rsidRPr="00E77F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сфере закупок проводятся проверка, анализ и оценка информации </w:t>
      </w:r>
      <w:r w:rsidRPr="00E77FB5">
        <w:rPr>
          <w:rFonts w:ascii="Times New Roman" w:eastAsia="Calibri" w:hAnsi="Times New Roman" w:cs="Times New Roman"/>
          <w:sz w:val="24"/>
          <w:szCs w:val="24"/>
        </w:rPr>
        <w:t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</w:t>
      </w:r>
      <w:r w:rsidRPr="00E77F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вопросами программы мероприятия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Порядок оформления рабочей и промежуточной документации предусмотрен 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типовыми стандартами  внешнего муниципального финансового контроля «Проведение экспертно-аналитического мероприятия», утвержденного решением Президиума Союза МКСО (протокол заседания от 19.05.2013 г. № 2 (33), «Общие правила проведения контрольного мероприятия», утвержденного решением Президиума Союза МКСО (протокол заседания от 25.09.2012 г. № 4 (30).</w:t>
      </w:r>
      <w:proofErr w:type="gramEnd"/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ходе проведения мероприятия подлежат рассмотрению следующие основные вопросы: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наличие, порядок формирования, организация работы комиссии (комиссий) по осуществлению закупок;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выбора и функционал специализированной организации;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организации централизованных закупок и совместных конкурсов и аукционов;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и порядок проведения ведомственного контроля в сфере закупок в отношении подведомственных заказчиков;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обязательного общественного обсуждения закупок в случаях предусмотренных действующим законодательством;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формирования, утверждения и ведения плана закупок и плана-графика, а также порядок его размещения в открытом доступе;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обоснование закупки;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обоснованность и законность выбора конкурентного способа определения поставщика (подрядчика, исполнителя);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проверка документации (извещения) о закупке на предмет соответствия требованиям действующего законодательства;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проверка наличия в контракте обязательных условий;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</w:t>
      </w: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системы; организации инвалидов;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и соответствие законодательству обеспечения заявок;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и соответствие законодательству обеспечения исполнения контракта;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проверка  соблюдения требований законодательства </w:t>
      </w: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заявок;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применение антидемпинговых мер при проведении конкурса и аукциона;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соблюдение сроков и порядка заключения контрактов;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оценка законности внесения изменений в контракт, его расторжение (при их наличии);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оценка соответствия поставленных товаров, выполненных работ, оказанных услуг требованиям, установленным в контрактах;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оценка целевого характера использования поставленных товаров, результатов выполненных работ и оказанных услуг;</w:t>
      </w:r>
    </w:p>
    <w:p w:rsidR="00E77FB5" w:rsidRPr="00E77FB5" w:rsidRDefault="00E77FB5" w:rsidP="00E7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применение обеспечительных мер и мер ответственности по контракту.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рамках проверки также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анализируется информация о закупках заказчика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Необходимо структурировать данную информацию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Информация о закупках у единственного поставщика (подрядчика, исполнителя) должна анализироваться в разрезе закупок до 100 тыс. рублей и свыше 100 тыс. рублей. 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Обобщение данной информации возможно в табличной форме.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 Проверка, анализ и оценка целесообразности и обоснованности расходов на закупки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данном этапе осуществляется проверка обоснования закупки заказчиком на этапе планирования закупок товаров, работ, услуг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формировании плана закупок, плана-графика закупок, анализ и оценка</w:t>
      </w: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целесообразностью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наличие обоснованных муниципальных нужд, необходимых для достижения целей и реализации мероприятий </w:t>
      </w:r>
      <w:r w:rsidRPr="00E7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программ, выполнения установленных функций и полномочий органов местного самоуправления.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обоснованностью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наличие обоснования, в том числе с использованием правил </w:t>
      </w: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нормирования</w:t>
      </w:r>
      <w:proofErr w:type="gramEnd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7FB5">
        <w:rPr>
          <w:rFonts w:ascii="Times New Roman" w:eastAsia="Calibri" w:hAnsi="Times New Roman" w:cs="Times New Roman"/>
          <w:sz w:val="24"/>
          <w:szCs w:val="24"/>
        </w:rPr>
        <w:t>В рамках мероприятия также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утвержденные план и план-график закупок, а также ритмичность (равномерное распределение закупок) закупок в течение года.</w:t>
      </w:r>
      <w:proofErr w:type="gramEnd"/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4.2.2. Проверка, анализ и оценка своевременности расходов на закупки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данном этапе осуществляется проверка своевременности расходов на закупки заказчиком с учетом этапов планирования закупок товаров, работ, услуг,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закупок,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заключения и исполнения контрактов, 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своевременностью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В рамках мероприятия целесообразно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исполнителю устранить недостатки.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4.2.3. Проверка, анализ и оценка эффективности расходов на закупки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Calibri" w:hAnsi="Times New Roman" w:cs="Times New Roman"/>
          <w:sz w:val="24"/>
          <w:szCs w:val="24"/>
        </w:rPr>
        <w:t>На данном этапе осуществляется проверка и анализ эффективности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эффективностью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эффективное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имеющихся ресурсов,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запланированных целей осуществления закупок.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оценке эффективности расходов на закупки рекомендуется применять следующие показатели (как в целом по объекту аудита (контроля) за отчетный период, так и по конкретной закупке):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потенциальная экономия бюджетных средств на стадии формирования и обоснования начальных (максимальных) цен контрактов – это разница между начальными (максимальными) ценами контрактов в плане-графике закупок и средними ценами контрактов, установленных другими заказчиками на однородные товары, работы, услуги, либо среднерыночными ценами контракта на однородные товары, работы, услуги (с учетом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сопоставимых условий поставок товаров, выполнения работ, оказания услуг, включая объем закупки, гарантийные обязательства, срок</w:t>
      </w:r>
      <w:proofErr w:type="gramEnd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годности и т. п.);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экономия бюджетных сре</w:t>
      </w: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дств в пр</w:t>
      </w:r>
      <w:proofErr w:type="gramEnd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оцессе определения поставщиков (исполнителей, подрядчиков) – это снижение начальной (максимальной) цены контрактов относительно цены заключенных контрактов;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дополнительная экономия бюджетных средств, полученная по результатам осуществления закупок, определяется (рассчитывается) в качестве дополнительной выгоды, в том числе за счет закупок </w:t>
      </w:r>
      <w:r w:rsidRPr="00E77FB5">
        <w:rPr>
          <w:rFonts w:ascii="Times New Roman" w:eastAsia="Calibri" w:hAnsi="Times New Roman" w:cs="Times New Roman"/>
          <w:sz w:val="24"/>
          <w:szCs w:val="24"/>
        </w:rPr>
        <w:t>инновационной и высокотехнологичной продукции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(дополнительные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 и др.);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экономия бюджетных сре</w:t>
      </w:r>
      <w:proofErr w:type="gramStart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дств пр</w:t>
      </w:r>
      <w:proofErr w:type="gramEnd"/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исполнении контрактов – это </w:t>
      </w:r>
      <w:r w:rsidRPr="00E77FB5">
        <w:rPr>
          <w:rFonts w:ascii="Times New Roman" w:eastAsia="Calibri" w:hAnsi="Times New Roman" w:cs="Times New Roman"/>
          <w:sz w:val="24"/>
          <w:szCs w:val="24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Расчет экономии в целом по объекту аудита (контроля), отдельным процедурам закупок может осуществляться также на основе данных формы федерального статистического наблюдения.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рамках анализа и оценки эффективности расходов на закупки целесообразно оценивать соблюдение заказчиком принципа обеспечения конкуренции, непосредственно влияющего на эффективность осуществления закупок.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анализе конкуренции при осуществлении закупок за отчетный период рекомендуется применять следующие показатели: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среднее количество поданных заявок на одну закупку – это отношение общего количества заявок, поданных участниками, к общему количеству процедур закупок; 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среднее количество допущенных заявок на одну закупку – это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доля закупок у единственного поставщика (подрядчика, исполнителя) – это отношение закупок, осуществленных в соответствии со статьей 93 Федерального закона № 44-ФЗ, к общему объему закупок (в стоимостном выражении).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оценки данных </w:t>
      </w: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proofErr w:type="gramEnd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их сравнение со средними по Российской Федерации и (или) региону (информация Росстата на официальном сайте </w:t>
      </w:r>
      <w:proofErr w:type="spellStart"/>
      <w:r w:rsidRPr="00E77F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zakupki</w:t>
      </w:r>
      <w:proofErr w:type="spellEnd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77F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77F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исключать из расчетов </w:t>
      </w: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неконкурентные закупки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 Проверка, анализ и оценка результативности расходов на закупки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Calibri" w:hAnsi="Times New Roman" w:cs="Times New Roman"/>
          <w:sz w:val="24"/>
          <w:szCs w:val="24"/>
        </w:rPr>
        <w:t>На данном этапе осуществляются проверка и анализ результативности расходов на закупки в рамках исполнения контрактов.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результативностью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 достижения заданных результатов обеспечения муниципальных нужд (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наличие товаров, работ и услуг в запланированном количестве (объеме) и качестве)</w:t>
      </w: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 и целей осуществления закупок.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результативности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закупки включает в себя как определение экономической результативности, так и достигнутого социально-экономического эффекта.</w:t>
      </w:r>
    </w:p>
    <w:p w:rsidR="00E77FB5" w:rsidRPr="00E77FB5" w:rsidRDefault="00E77FB5" w:rsidP="00E77FB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</w:t>
      </w:r>
      <w:r w:rsidRPr="00E77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результативность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путем сравнения достигнутых и запланированных </w:t>
      </w:r>
      <w:r w:rsidRPr="00E77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экономических результатов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бюджетных средств, которые выступают в виде конкретных товаров, работ, услуг.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закупок, на которые были использованы бюджетные средства.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4.2.5. Проверка законности расходов на закупки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</w:t>
      </w: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осуществляются проверка и анализ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объектом аудита (контроля) </w:t>
      </w:r>
      <w:r w:rsidRPr="00E77FB5">
        <w:rPr>
          <w:rFonts w:ascii="Times New Roman" w:eastAsia="Calibri" w:hAnsi="Times New Roman" w:cs="Times New Roman"/>
          <w:sz w:val="24"/>
          <w:szCs w:val="24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закупок.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Pr="00E77F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законностью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</w:t>
      </w:r>
      <w:r w:rsidRPr="00E77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понимается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участниками </w:t>
      </w:r>
      <w:r w:rsidRPr="00E77FB5">
        <w:rPr>
          <w:rFonts w:ascii="Times New Roman" w:eastAsia="Calibri" w:hAnsi="Times New Roman" w:cs="Times New Roman"/>
          <w:sz w:val="24"/>
          <w:szCs w:val="24"/>
        </w:rPr>
        <w:t>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 и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  <w:proofErr w:type="gramEnd"/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Calibri" w:hAnsi="Times New Roman" w:cs="Times New Roman"/>
          <w:sz w:val="24"/>
          <w:szCs w:val="24"/>
        </w:rPr>
        <w:t>При выявлении нарушений законодательства о контрактной системе, содержащих признаки административных правонарушений (статьи 7.29, 7.30, 7.32 Кодекса Российской Федерации об административных правонарушениях), соответствующая информация и материалы направляются в контрольные органы в сфере закупок для принятия мер реагирования (после утверждения отчета о результатах контрольного мероприятия).</w:t>
      </w:r>
    </w:p>
    <w:p w:rsidR="00E77FB5" w:rsidRPr="00E77FB5" w:rsidRDefault="00E77FB5" w:rsidP="00E77F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в незаконных действиях (бездействиях) со стороны участников контрактной системы в сфере закупок, имеющих признаки состава преступления,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 и соглашениями с указанными органами.</w:t>
      </w:r>
    </w:p>
    <w:p w:rsidR="00E77FB5" w:rsidRPr="00E77FB5" w:rsidRDefault="00E77FB5" w:rsidP="00E77F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 Заключительный этап аудита в сфере закупок</w:t>
      </w: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аудита закупок оформляются в соответствии с типовым стандартом внешнего муниципального финансового контроля «Проведение экспертно-аналитического мероприятия», утвержденного решением Президиума Союза МКСО (протокол заседания от 19.05.2013 г. № 2 (33), типовым стандартом внешнего муниципального финансового контроля «Общие правила проведения контрольного мероприятия», утвержденного решением Президиума Союза МКСО (протокол заседания от 25.09.2012 г. № 4 (30).</w:t>
      </w:r>
      <w:proofErr w:type="gramEnd"/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</w:t>
      </w:r>
      <w:r w:rsidRPr="00E77FB5">
        <w:rPr>
          <w:rFonts w:ascii="Times New Roman" w:eastAsia="Calibri" w:hAnsi="Times New Roman" w:cs="Times New Roman"/>
          <w:sz w:val="24"/>
          <w:szCs w:val="24"/>
        </w:rPr>
        <w:t>отклонений, нарушений и недостатков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подготовить соответствующие </w:t>
      </w:r>
      <w:r w:rsidRPr="00E77FB5">
        <w:rPr>
          <w:rFonts w:ascii="Times New Roman" w:eastAsia="Calibri" w:hAnsi="Times New Roman" w:cs="Times New Roman"/>
          <w:sz w:val="24"/>
          <w:szCs w:val="24"/>
        </w:rPr>
        <w:t>предложения (рекомендации), направленные на их устранение и на совершенствование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объекта аудита (контроля) в сфере закупок. Указанные предложения (рекомендации) направляются в адрес объекта аудита в форме представления, предписания.</w:t>
      </w:r>
    </w:p>
    <w:p w:rsidR="00E77FB5" w:rsidRPr="00E77FB5" w:rsidRDefault="00E77FB5" w:rsidP="00E77F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Формирование и размещение обобщенной информации о результатах аудита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закупок в единой информационной системе в сфере закупок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  <w:proofErr w:type="gramEnd"/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Обобщенная информация о результатах аудита в сфере закупок (далее – обобщенная информация) ежегодно формируется и размещается в единой информационной системе в сфере закупок (</w:t>
      </w:r>
      <w:r w:rsidRPr="00E77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 момента ввода единой информационной системы в сфере закупок - на </w:t>
      </w:r>
      <w:r w:rsidRPr="00E77FB5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zakupki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7FB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E77FB5">
        <w:rPr>
          <w:rFonts w:ascii="Times New Roman" w:eastAsia="Calibri" w:hAnsi="Times New Roman" w:cs="Times New Roman"/>
          <w:sz w:val="24"/>
          <w:szCs w:val="24"/>
        </w:rPr>
        <w:t>)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FB5" w:rsidRPr="00E77FB5" w:rsidRDefault="00E77FB5" w:rsidP="00E77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обобщенной информации осуществляется по установленной в</w:t>
      </w: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77FB5" w:rsidRPr="00E77FB5" w:rsidSect="002A15E0">
          <w:pgSz w:w="11906" w:h="16838" w:code="9"/>
          <w:pgMar w:top="1134" w:right="851" w:bottom="851" w:left="1418" w:header="340" w:footer="340" w:gutter="0"/>
          <w:cols w:space="708"/>
          <w:titlePg/>
          <w:docGrid w:linePitch="360"/>
        </w:sectPr>
      </w:pPr>
    </w:p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E77FB5" w:rsidRPr="00E77FB5" w:rsidRDefault="00E77FB5" w:rsidP="00E77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структура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представления данных о результатах аудита в сфере закупок </w:t>
      </w:r>
    </w:p>
    <w:p w:rsidR="00E77FB5" w:rsidRPr="00E77FB5" w:rsidRDefault="00E77FB5" w:rsidP="00E7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подготовки обобщенной информации </w:t>
      </w:r>
    </w:p>
    <w:p w:rsidR="00E77FB5" w:rsidRPr="00E77FB5" w:rsidRDefault="00E77FB5" w:rsidP="00E77F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отчетный период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3600"/>
      </w:tblGrid>
      <w:tr w:rsidR="00E77FB5" w:rsidRPr="00E77FB5" w:rsidTr="00191329">
        <w:tc>
          <w:tcPr>
            <w:tcW w:w="828" w:type="dxa"/>
            <w:shd w:val="clear" w:color="auto" w:fill="auto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E77FB5" w:rsidRPr="00E77FB5" w:rsidTr="00191329">
        <w:tc>
          <w:tcPr>
            <w:tcW w:w="9828" w:type="dxa"/>
            <w:gridSpan w:val="3"/>
            <w:shd w:val="clear" w:color="auto" w:fill="D9D9D9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проведенных мероприятий</w:t>
            </w:r>
          </w:p>
        </w:tc>
      </w:tr>
      <w:tr w:rsidR="00E77FB5" w:rsidRPr="00E77FB5" w:rsidTr="00191329">
        <w:trPr>
          <w:trHeight w:val="651"/>
        </w:trPr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E77FB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17"/>
                <w:lang w:eastAsia="ru-RU"/>
              </w:rPr>
              <w:t xml:space="preserve">объектов, </w:t>
            </w: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которых проводился аудит в сфере закупок,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проверенных объектов</w:t>
            </w:r>
          </w:p>
        </w:tc>
      </w:tr>
      <w:tr w:rsidR="00E77FB5" w:rsidRPr="00E77FB5" w:rsidTr="00191329">
        <w:trPr>
          <w:trHeight w:val="598"/>
        </w:trPr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7FB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17"/>
                <w:lang w:eastAsia="ru-RU"/>
              </w:rPr>
              <w:t>Общее количество и сумма контрактов</w:t>
            </w: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</w:t>
            </w:r>
            <w:r w:rsidRPr="00E77FB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17"/>
                <w:lang w:eastAsia="ru-RU"/>
              </w:rPr>
              <w:t xml:space="preserve">, проверенных </w:t>
            </w: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аудита в сфере закупок 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контрактов и сумма (тыс. рублей)</w:t>
            </w:r>
          </w:p>
        </w:tc>
      </w:tr>
      <w:tr w:rsidR="00E77FB5" w:rsidRPr="00E77FB5" w:rsidTr="00191329">
        <w:tc>
          <w:tcPr>
            <w:tcW w:w="9828" w:type="dxa"/>
            <w:gridSpan w:val="3"/>
            <w:shd w:val="clear" w:color="auto" w:fill="D9D9D9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E77FB5" w:rsidRPr="00E77FB5" w:rsidTr="00191329">
        <w:trPr>
          <w:trHeight w:val="273"/>
        </w:trPr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и сумма нарушений (тыс. рублей)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</w:t>
            </w:r>
          </w:p>
        </w:tc>
      </w:tr>
      <w:tr w:rsidR="00E77FB5" w:rsidRPr="00E77FB5" w:rsidTr="00191329">
        <w:trPr>
          <w:trHeight w:val="558"/>
        </w:trPr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E77FB5" w:rsidRPr="00E77FB5" w:rsidTr="00191329">
        <w:trPr>
          <w:trHeight w:val="727"/>
        </w:trPr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закупок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контракта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количество нарушений и сумма нарушений (тыс. рублей) 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закупок и сумма (тыс. рублей)</w:t>
            </w:r>
          </w:p>
        </w:tc>
      </w:tr>
      <w:tr w:rsidR="00E77FB5" w:rsidRPr="00E77FB5" w:rsidTr="00191329">
        <w:tc>
          <w:tcPr>
            <w:tcW w:w="9828" w:type="dxa"/>
            <w:gridSpan w:val="3"/>
            <w:shd w:val="clear" w:color="auto" w:fill="D9D9D9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 (предписаний), направленных по результатам </w:t>
            </w: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направленных представлений (предписаний)</w:t>
            </w:r>
          </w:p>
        </w:tc>
      </w:tr>
      <w:tr w:rsidR="00E77FB5" w:rsidRPr="00E77FB5" w:rsidTr="00191329">
        <w:trPr>
          <w:trHeight w:val="754"/>
        </w:trPr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E77FB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направленных обращений</w:t>
            </w:r>
          </w:p>
        </w:tc>
      </w:tr>
      <w:tr w:rsidR="00E77FB5" w:rsidRPr="00E77FB5" w:rsidTr="00191329">
        <w:trPr>
          <w:trHeight w:val="327"/>
        </w:trPr>
        <w:tc>
          <w:tcPr>
            <w:tcW w:w="9828" w:type="dxa"/>
            <w:gridSpan w:val="3"/>
            <w:shd w:val="clear" w:color="auto" w:fill="D9D9D9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eastAsia="ru-RU"/>
              </w:rPr>
              <w:t>Установление п</w:t>
            </w: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ричин 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установленные причины</w:t>
            </w:r>
          </w:p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(действия должностных лиц, недостаток методического обеспечения, правовые «пробелы» и т. д.)</w:t>
            </w:r>
          </w:p>
        </w:tc>
      </w:tr>
      <w:tr w:rsidR="00E77FB5" w:rsidRPr="00E77FB5" w:rsidTr="00191329">
        <w:tc>
          <w:tcPr>
            <w:tcW w:w="9828" w:type="dxa"/>
            <w:gridSpan w:val="3"/>
            <w:shd w:val="clear" w:color="auto" w:fill="D9D9D9"/>
            <w:vAlign w:val="center"/>
          </w:tcPr>
          <w:p w:rsidR="00E77FB5" w:rsidRPr="00E77FB5" w:rsidRDefault="00E77FB5" w:rsidP="00E77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E77FB5" w:rsidRPr="00E77FB5" w:rsidTr="00191329">
        <w:tc>
          <w:tcPr>
            <w:tcW w:w="828" w:type="dxa"/>
          </w:tcPr>
          <w:p w:rsidR="00E77FB5" w:rsidRPr="00E77FB5" w:rsidRDefault="00E77FB5" w:rsidP="00E7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3600" w:type="dxa"/>
            <w:vAlign w:val="center"/>
          </w:tcPr>
          <w:p w:rsidR="00E77FB5" w:rsidRPr="00E77FB5" w:rsidRDefault="00E77FB5" w:rsidP="00E7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Указываются предложения </w:t>
            </w:r>
          </w:p>
        </w:tc>
      </w:tr>
    </w:tbl>
    <w:p w:rsidR="00E77FB5" w:rsidRPr="00E77FB5" w:rsidRDefault="00E77FB5" w:rsidP="00E77F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469D7" w:rsidRDefault="00C469D7"/>
    <w:sectPr w:rsidR="00C469D7" w:rsidSect="00576A99">
      <w:pgSz w:w="11906" w:h="16838" w:code="9"/>
      <w:pgMar w:top="851" w:right="567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A8" w:rsidRDefault="00493EA8">
      <w:pPr>
        <w:spacing w:after="0" w:line="240" w:lineRule="auto"/>
      </w:pPr>
      <w:r>
        <w:separator/>
      </w:r>
    </w:p>
  </w:endnote>
  <w:endnote w:type="continuationSeparator" w:id="0">
    <w:p w:rsidR="00493EA8" w:rsidRDefault="0049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10" w:rsidRDefault="00E77FB5" w:rsidP="002A15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410" w:rsidRDefault="00493EA8" w:rsidP="002A15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A8" w:rsidRDefault="00493EA8">
      <w:pPr>
        <w:spacing w:after="0" w:line="240" w:lineRule="auto"/>
      </w:pPr>
      <w:r>
        <w:separator/>
      </w:r>
    </w:p>
  </w:footnote>
  <w:footnote w:type="continuationSeparator" w:id="0">
    <w:p w:rsidR="00493EA8" w:rsidRDefault="0049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10" w:rsidRDefault="00E77FB5" w:rsidP="002A15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410" w:rsidRDefault="00493E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10" w:rsidRDefault="00E77FB5" w:rsidP="002A15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0AC2">
      <w:rPr>
        <w:rStyle w:val="a7"/>
        <w:noProof/>
      </w:rPr>
      <w:t>4</w:t>
    </w:r>
    <w:r>
      <w:rPr>
        <w:rStyle w:val="a7"/>
      </w:rPr>
      <w:fldChar w:fldCharType="end"/>
    </w:r>
  </w:p>
  <w:p w:rsidR="00394410" w:rsidRDefault="00493EA8" w:rsidP="002A15E0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B5"/>
    <w:rsid w:val="00493EA8"/>
    <w:rsid w:val="00C469D7"/>
    <w:rsid w:val="00E77FB5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7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77FB5"/>
  </w:style>
  <w:style w:type="paragraph" w:styleId="a5">
    <w:name w:val="header"/>
    <w:basedOn w:val="a"/>
    <w:link w:val="a6"/>
    <w:rsid w:val="00E77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77F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E7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7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77FB5"/>
  </w:style>
  <w:style w:type="paragraph" w:styleId="a5">
    <w:name w:val="header"/>
    <w:basedOn w:val="a"/>
    <w:link w:val="a6"/>
    <w:rsid w:val="00E77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77F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E7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4758</Words>
  <Characters>27122</Characters>
  <Application>Microsoft Office Word</Application>
  <DocSecurity>0</DocSecurity>
  <Lines>226</Lines>
  <Paragraphs>63</Paragraphs>
  <ScaleCrop>false</ScaleCrop>
  <Company/>
  <LinksUpToDate>false</LinksUpToDate>
  <CharactersWithSpaces>31817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3</cp:revision>
  <dcterms:created xsi:type="dcterms:W3CDTF">2014-12-25T06:29:00Z</dcterms:created>
  <dcterms:modified xsi:type="dcterms:W3CDTF">2014-12-25T11:27:00Z</dcterms:modified>
</cp:coreProperties>
</file>