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B32" w:rsidRPr="00251D92" w:rsidRDefault="004D31D3" w:rsidP="004D6ADF">
      <w:pPr>
        <w:pStyle w:val="11"/>
        <w:ind w:left="0"/>
        <w:sectPr w:rsidR="006A6B32" w:rsidRPr="00251D92" w:rsidSect="008E43E3">
          <w:footerReference w:type="default" r:id="rId8"/>
          <w:pgSz w:w="11906" w:h="16838"/>
          <w:pgMar w:top="0" w:right="0" w:bottom="0" w:left="0" w:header="709" w:footer="709" w:gutter="0"/>
          <w:pgNumType w:start="3"/>
          <w:cols w:space="708"/>
          <w:docGrid w:linePitch="360"/>
        </w:sectPr>
      </w:pPr>
      <w:bookmarkStart w:id="0" w:name="_Toc40969333"/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-111760</wp:posOffset>
            </wp:positionV>
            <wp:extent cx="7739380" cy="10962640"/>
            <wp:effectExtent l="0" t="0" r="7620" b="10160"/>
            <wp:wrapNone/>
            <wp:docPr id="9" name="Рисунок 9" descr="/Users/tortuga/Desktop/Georg/СП/SKSO Bbook/SKSO logo/SKSO docs/SKSO-cover-dark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tortuga/Desktop/Georg/СП/SKSO Bbook/SKSO logo/SKSO docs/SKSO-cover-darkblu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9380" cy="1096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6D7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51.7pt;margin-top:99.25pt;width:201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" filled="f" stroked="f">
            <v:textbox>
              <w:txbxContent>
                <w:p w:rsidR="0046736E" w:rsidRPr="0046736E" w:rsidRDefault="0046736E" w:rsidP="00C47039">
                  <w:pPr>
                    <w:pStyle w:val="a1"/>
                    <w:suppressAutoHyphens/>
                    <w:spacing w:before="170"/>
                    <w:jc w:val="right"/>
                    <w:rPr>
                      <w:rFonts w:ascii="Arial" w:hAnsi="Arial" w:cs="Arial"/>
                      <w:color w:val="FFFFFF" w:themeColor="background1"/>
                      <w:sz w:val="32"/>
                      <w:szCs w:val="32"/>
                    </w:rPr>
                  </w:pPr>
                  <w:r w:rsidRPr="0046736E">
                    <w:rPr>
                      <w:rFonts w:ascii="Arial" w:hAnsi="Arial" w:cs="Arial"/>
                      <w:color w:val="FFFFFF" w:themeColor="background1"/>
                      <w:sz w:val="32"/>
                      <w:szCs w:val="32"/>
                    </w:rPr>
                    <w:t>2020</w:t>
                  </w:r>
                </w:p>
                <w:p w:rsidR="0046736E" w:rsidRPr="0046736E" w:rsidRDefault="0046736E">
                  <w:pPr>
                    <w:rPr>
                      <w:rFonts w:ascii="Arial" w:hAnsi="Arial" w:cs="Arial"/>
                      <w:color w:val="FFFFFF" w:themeColor="background1"/>
                    </w:rPr>
                  </w:pPr>
                </w:p>
              </w:txbxContent>
            </v:textbox>
          </v:shape>
        </w:pict>
      </w:r>
      <w:r w:rsidR="0046736E">
        <w:rPr>
          <w:rFonts w:ascii="TT Jenevers" w:hAnsi="TT Jenevers"/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808990</wp:posOffset>
            </wp:positionH>
            <wp:positionV relativeFrom="paragraph">
              <wp:posOffset>1260475</wp:posOffset>
            </wp:positionV>
            <wp:extent cx="1515745" cy="430530"/>
            <wp:effectExtent l="0" t="0" r="8255" b="1270"/>
            <wp:wrapNone/>
            <wp:docPr id="16" name="Рисунок 16" descr="/Users/tortuga/Downloads/Untitled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tortuga/Downloads/Untitled-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6D71">
        <w:rPr>
          <w:noProof/>
          <w:lang w:eastAsia="ru-RU"/>
        </w:rPr>
        <w:pict>
          <v:shape id="Text Box 2" o:spid="_x0000_s1027" type="#_x0000_t202" style="position:absolute;margin-left:93.35pt;margin-top:5in;width:464.7pt;height:37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" filled="f" stroked="f">
            <v:textbox inset="0,0,0,1mm">
              <w:txbxContent>
                <w:p w:rsidR="00EC233F" w:rsidRPr="00EC233F" w:rsidRDefault="00EC233F" w:rsidP="00EC233F">
                  <w:pPr>
                    <w:pStyle w:val="a1"/>
                    <w:rPr>
                      <w:rFonts w:ascii="Times New Roman" w:hAnsi="Times New Roman" w:cs="Times New Roman"/>
                      <w:color w:val="FFFFFF" w:themeColor="background1"/>
                      <w:sz w:val="52"/>
                      <w:szCs w:val="52"/>
                    </w:rPr>
                  </w:pPr>
                  <w:r w:rsidRPr="00EC233F">
                    <w:rPr>
                      <w:rFonts w:ascii="Times New Roman" w:hAnsi="Times New Roman" w:cs="Times New Roman"/>
                      <w:color w:val="FFFFFF" w:themeColor="background1"/>
                      <w:sz w:val="52"/>
                      <w:szCs w:val="52"/>
                    </w:rPr>
                    <w:t>Отчет</w:t>
                  </w:r>
                </w:p>
                <w:p w:rsidR="0046736E" w:rsidRDefault="00EC233F" w:rsidP="00EC233F">
                  <w:pPr>
                    <w:pStyle w:val="a1"/>
                    <w:rPr>
                      <w:rFonts w:ascii="Times New Roman" w:hAnsi="Times New Roman" w:cs="Times New Roman"/>
                      <w:color w:val="FFFFFF" w:themeColor="background1"/>
                      <w:sz w:val="52"/>
                      <w:szCs w:val="52"/>
                    </w:rPr>
                  </w:pPr>
                  <w:r w:rsidRPr="00EC233F">
                    <w:rPr>
                      <w:rFonts w:ascii="Times New Roman" w:hAnsi="Times New Roman" w:cs="Times New Roman"/>
                      <w:color w:val="FFFFFF" w:themeColor="background1"/>
                      <w:sz w:val="52"/>
                      <w:szCs w:val="52"/>
                    </w:rPr>
                    <w:t>о работе Комиссии Совета контрольно-счетных органов при Счетной палате Российской Федерации по совершенствованию внешнего финансового контроля на муниципальном уровне за 2020 год</w:t>
                  </w:r>
                </w:p>
                <w:p w:rsidR="004D6ADF" w:rsidRPr="00440D11" w:rsidRDefault="004D6ADF" w:rsidP="00440D11">
                  <w:pPr>
                    <w:pStyle w:val="a1"/>
                    <w:rPr>
                      <w:rFonts w:ascii="Times New Roman" w:hAnsi="Times New Roman" w:cs="Times New Roman"/>
                      <w:color w:val="FFFFFF" w:themeColor="background1"/>
                      <w:sz w:val="52"/>
                      <w:szCs w:val="52"/>
                    </w:rPr>
                  </w:pPr>
                </w:p>
                <w:p w:rsidR="0046736E" w:rsidRPr="001618EC" w:rsidRDefault="0046736E" w:rsidP="00251D92">
                  <w:pPr>
                    <w:rPr>
                      <w:rFonts w:cs="Times New Roman"/>
                      <w:color w:val="FFFFFF" w:themeColor="background1"/>
                      <w:szCs w:val="40"/>
                    </w:rPr>
                  </w:pPr>
                  <w:bookmarkStart w:id="1" w:name="_Toc40969334"/>
                  <w:r w:rsidRPr="001618EC">
                    <w:rPr>
                      <w:rFonts w:cs="Times New Roman"/>
                      <w:color w:val="FFFFFF" w:themeColor="background1"/>
                      <w:szCs w:val="40"/>
                    </w:rPr>
                    <w:t>О</w:t>
                  </w:r>
                  <w:r w:rsidR="00273498">
                    <w:rPr>
                      <w:rFonts w:cs="Times New Roman"/>
                      <w:color w:val="FFFFFF" w:themeColor="background1"/>
                      <w:szCs w:val="40"/>
                    </w:rPr>
                    <w:t>тчет</w:t>
                  </w:r>
                  <w:r w:rsidRPr="001618EC">
                    <w:rPr>
                      <w:rFonts w:cs="Times New Roman"/>
                      <w:color w:val="FFFFFF" w:themeColor="background1"/>
                      <w:szCs w:val="40"/>
                    </w:rPr>
                    <w:t xml:space="preserve"> подготовлен</w:t>
                  </w:r>
                  <w:r w:rsidRPr="001618EC">
                    <w:rPr>
                      <w:rFonts w:cs="Times New Roman"/>
                      <w:color w:val="FFFFFF" w:themeColor="background1"/>
                      <w:szCs w:val="40"/>
                    </w:rPr>
                    <w:br/>
                  </w:r>
                  <w:bookmarkEnd w:id="1"/>
                  <w:r w:rsidR="004D6ADF">
                    <w:rPr>
                      <w:rFonts w:cs="Times New Roman"/>
                      <w:color w:val="FFFFFF" w:themeColor="background1"/>
                      <w:szCs w:val="40"/>
                    </w:rPr>
                    <w:t>Контрольно-с</w:t>
                  </w:r>
                  <w:r w:rsidR="00273498">
                    <w:rPr>
                      <w:rFonts w:cs="Times New Roman"/>
                      <w:color w:val="FFFFFF" w:themeColor="background1"/>
                      <w:szCs w:val="40"/>
                    </w:rPr>
                    <w:t>четной палатой В</w:t>
                  </w:r>
                  <w:r w:rsidR="004D6ADF">
                    <w:rPr>
                      <w:rFonts w:cs="Times New Roman"/>
                      <w:color w:val="FFFFFF" w:themeColor="background1"/>
                      <w:szCs w:val="40"/>
                    </w:rPr>
                    <w:t>ологодской</w:t>
                  </w:r>
                  <w:r w:rsidR="00273498">
                    <w:rPr>
                      <w:rFonts w:cs="Times New Roman"/>
                      <w:color w:val="FFFFFF" w:themeColor="background1"/>
                      <w:szCs w:val="40"/>
                    </w:rPr>
                    <w:t xml:space="preserve"> области</w:t>
                  </w:r>
                  <w:r w:rsidRPr="001618EC">
                    <w:rPr>
                      <w:rFonts w:cs="Times New Roman"/>
                      <w:i/>
                      <w:color w:val="FFFFFF" w:themeColor="background1"/>
                      <w:szCs w:val="40"/>
                    </w:rPr>
                    <w:t xml:space="preserve"> </w:t>
                  </w:r>
                </w:p>
                <w:p w:rsidR="0046736E" w:rsidRPr="001618EC" w:rsidRDefault="0046736E" w:rsidP="0082377D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  <w:bookmarkEnd w:id="0"/>
    </w:p>
    <w:p w:rsidR="00EC233F" w:rsidRPr="00EC233F" w:rsidRDefault="00EC233F" w:rsidP="00EC233F">
      <w:pPr>
        <w:pStyle w:val="a0"/>
        <w:rPr>
          <w:bCs/>
        </w:rPr>
      </w:pPr>
      <w:r w:rsidRPr="00EC233F">
        <w:rPr>
          <w:bCs/>
        </w:rPr>
        <w:lastRenderedPageBreak/>
        <w:t>Комиссия Совета контрольно-счетных органов при Счетной палате Российской Федерации по совершенствованию внешнего финансового контроля на муниципальном уровне (далее – Комиссия) работает на основании Положения, утвержденного решением Президиума Совета контрольно-счетных органов при Счетной палате Российской Федерации (далее – Президиум Совета) от 15.02.2017.</w:t>
      </w:r>
    </w:p>
    <w:p w:rsidR="00EC233F" w:rsidRPr="0088140D" w:rsidRDefault="00EC233F" w:rsidP="00EC233F">
      <w:pPr>
        <w:pStyle w:val="a0"/>
        <w:rPr>
          <w:bCs/>
        </w:rPr>
      </w:pPr>
      <w:r w:rsidRPr="0088140D">
        <w:rPr>
          <w:bCs/>
        </w:rPr>
        <w:t>В состав Комиссии входят должностные лица региональных и муниципальных органов внешнего финансового контроля, а также представитель Счетной палаты Российской Федерации, - всего 18 человек</w:t>
      </w:r>
      <w:r w:rsidRPr="0088140D">
        <w:rPr>
          <w:bCs/>
          <w:vertAlign w:val="superscript"/>
        </w:rPr>
        <w:footnoteReference w:id="2"/>
      </w:r>
      <w:r w:rsidRPr="0088140D">
        <w:rPr>
          <w:bCs/>
        </w:rPr>
        <w:t>.</w:t>
      </w:r>
    </w:p>
    <w:p w:rsidR="00EC233F" w:rsidRPr="00EC233F" w:rsidRDefault="00EC233F" w:rsidP="00EC233F">
      <w:pPr>
        <w:pStyle w:val="a0"/>
        <w:rPr>
          <w:bCs/>
        </w:rPr>
      </w:pPr>
      <w:r w:rsidRPr="0088140D">
        <w:rPr>
          <w:bCs/>
        </w:rPr>
        <w:t>В рамках решения задач, возложенных</w:t>
      </w:r>
      <w:r w:rsidRPr="00EC233F">
        <w:rPr>
          <w:bCs/>
        </w:rPr>
        <w:t xml:space="preserve"> на Комиссию, в течение года осуществлялся сбор, обобщение, изучение информации о функционировании на территории страны органов внешнего финансового контроля на муниципальном уровне за 2019 год. Аналитические материалы, сформированные по итогам проведенной работы, содержат в том числе рекомендации и предложения, направленные на совершенствование и повышение результативности работы контрольно-счетных органов муниципальных образований (далее также МКСО).</w:t>
      </w:r>
    </w:p>
    <w:p w:rsidR="00EC233F" w:rsidRPr="00EC233F" w:rsidRDefault="00EC233F" w:rsidP="00EC233F">
      <w:pPr>
        <w:pStyle w:val="a0"/>
        <w:rPr>
          <w:bCs/>
        </w:rPr>
      </w:pPr>
      <w:r w:rsidRPr="00EC233F">
        <w:rPr>
          <w:bCs/>
        </w:rPr>
        <w:t>Работа Комиссии строилась на основании годового плана, составленного с учетом реализации мероприятий, включенных в план работы Совета контрольно-счетных органов при Счетной палате РФ (далее – Совет) на 2020 год, решений Совета и</w:t>
      </w:r>
      <w:r w:rsidR="00AE7D62">
        <w:rPr>
          <w:bCs/>
        </w:rPr>
        <w:t> </w:t>
      </w:r>
      <w:r w:rsidRPr="00EC233F">
        <w:rPr>
          <w:bCs/>
        </w:rPr>
        <w:t>Президиума Совета.</w:t>
      </w:r>
    </w:p>
    <w:p w:rsidR="00EC233F" w:rsidRPr="00EC233F" w:rsidRDefault="00EC233F" w:rsidP="00EC233F">
      <w:pPr>
        <w:pStyle w:val="a0"/>
        <w:rPr>
          <w:bCs/>
        </w:rPr>
      </w:pPr>
      <w:r w:rsidRPr="00EC233F">
        <w:rPr>
          <w:bCs/>
        </w:rPr>
        <w:t>Годовой план работы Комиссии утвержден Президиумом Совета 19.12.2019 (протокол № 9-СКСО) и откорректирован в части сроков реализации мероприятий 09.07.2020 (протокол № 11-ПКСО).</w:t>
      </w:r>
    </w:p>
    <w:p w:rsidR="00EC233F" w:rsidRPr="00EC233F" w:rsidRDefault="00EC233F" w:rsidP="00EC233F">
      <w:pPr>
        <w:pStyle w:val="a0"/>
      </w:pPr>
      <w:r w:rsidRPr="00EC233F">
        <w:t xml:space="preserve">В 2020 году Комиссией </w:t>
      </w:r>
      <w:r w:rsidRPr="0088140D">
        <w:t>проведено четыре заседания в заочной форме (27.01.2020,</w:t>
      </w:r>
      <w:r w:rsidRPr="00EC233F">
        <w:t xml:space="preserve"> 27.03.2020, 30.09.2020 и 30.11.2020).</w:t>
      </w:r>
    </w:p>
    <w:p w:rsidR="00EC233F" w:rsidRPr="00EC233F" w:rsidRDefault="00EC233F" w:rsidP="00EC233F">
      <w:pPr>
        <w:pStyle w:val="a0"/>
      </w:pPr>
      <w:r w:rsidRPr="00EC233F">
        <w:t>В течение 2020 года члены Комиссии принимали участие в следующих мероприятиях:</w:t>
      </w:r>
    </w:p>
    <w:p w:rsidR="00EC233F" w:rsidRPr="00EC233F" w:rsidRDefault="00EC233F" w:rsidP="00EC233F">
      <w:pPr>
        <w:pStyle w:val="a0"/>
      </w:pPr>
      <w:r w:rsidRPr="00EC233F">
        <w:t>Председатель Комиссии:</w:t>
      </w:r>
    </w:p>
    <w:p w:rsidR="00EC233F" w:rsidRPr="00EC233F" w:rsidRDefault="00EC233F" w:rsidP="00EC233F">
      <w:pPr>
        <w:pStyle w:val="1"/>
      </w:pPr>
      <w:r w:rsidRPr="00EC233F">
        <w:lastRenderedPageBreak/>
        <w:t>в заседании Президиума Совета 09.07.2020 в режиме видеоконференцсвязи, в</w:t>
      </w:r>
      <w:r w:rsidR="00AE7D62">
        <w:t> </w:t>
      </w:r>
      <w:r w:rsidRPr="00EC233F">
        <w:t>рамках которого в том числе были подведены итоги работы комиссий и</w:t>
      </w:r>
      <w:r w:rsidR="00AE7D62">
        <w:t> </w:t>
      </w:r>
      <w:r w:rsidRPr="00EC233F">
        <w:t>отделений Совета за 1 полугодие 2020 года, и в заочном заседании Совета 31.07.2020;</w:t>
      </w:r>
    </w:p>
    <w:p w:rsidR="00EC233F" w:rsidRPr="00EC233F" w:rsidRDefault="00EC233F" w:rsidP="00EC233F">
      <w:pPr>
        <w:pStyle w:val="a0"/>
      </w:pPr>
      <w:r w:rsidRPr="00EC233F">
        <w:t xml:space="preserve">члены Комиссии: </w:t>
      </w:r>
    </w:p>
    <w:p w:rsidR="00EC233F" w:rsidRPr="00EC233F" w:rsidRDefault="00EC233F" w:rsidP="00EC233F">
      <w:pPr>
        <w:pStyle w:val="1"/>
      </w:pPr>
      <w:r w:rsidRPr="00EC233F">
        <w:t>в мероприятиях, проводимых Счетной палатой РФ, Президиумом Совета, отделениями Совета в федеральных округах и Союзом МКСО, как на федеральном уровне, так и в регионах РФ;</w:t>
      </w:r>
    </w:p>
    <w:p w:rsidR="00EC233F" w:rsidRPr="00EC233F" w:rsidRDefault="00EC233F" w:rsidP="00EC233F">
      <w:pPr>
        <w:pStyle w:val="1"/>
      </w:pPr>
      <w:r w:rsidRPr="00EC233F">
        <w:t>в межрегиональных семинарах и совещаниях по вопросам внешнего финансового контроля.</w:t>
      </w:r>
    </w:p>
    <w:p w:rsidR="00EC233F" w:rsidRPr="00EC233F" w:rsidRDefault="00EC233F" w:rsidP="00EC233F">
      <w:pPr>
        <w:pStyle w:val="a0"/>
      </w:pPr>
      <w:r w:rsidRPr="00EC233F">
        <w:t>В рамках выполнения плана работы на 2020 год осуществлялась координация деятельности Комиссии с комиссиями Совета, отделениями Совета в федеральных округах и ответственным секретарем Совета.</w:t>
      </w:r>
    </w:p>
    <w:p w:rsidR="00EC233F" w:rsidRPr="0088140D" w:rsidRDefault="00EC233F" w:rsidP="00EC233F">
      <w:pPr>
        <w:pStyle w:val="a0"/>
        <w:rPr>
          <w:b/>
        </w:rPr>
      </w:pPr>
      <w:r w:rsidRPr="00EC233F">
        <w:rPr>
          <w:b/>
        </w:rPr>
        <w:t>В целях исполнения протокольного поручения Президиума Совета и Совета от</w:t>
      </w:r>
      <w:r w:rsidR="00AE7D62">
        <w:rPr>
          <w:b/>
        </w:rPr>
        <w:t> </w:t>
      </w:r>
      <w:r w:rsidRPr="00EC233F">
        <w:rPr>
          <w:b/>
        </w:rPr>
        <w:t>19.12.2019 по обеспечению выполнения мероприятий плана работы Совета на</w:t>
      </w:r>
      <w:r w:rsidR="00AE7D62">
        <w:rPr>
          <w:b/>
        </w:rPr>
        <w:t> </w:t>
      </w:r>
      <w:r w:rsidRPr="00EC233F">
        <w:rPr>
          <w:b/>
        </w:rPr>
        <w:t>2020 год (п.2.1.4. протокола № 9-СКСО) в рамках плана работы Комиссии на</w:t>
      </w:r>
      <w:r w:rsidR="00AE7D62">
        <w:rPr>
          <w:b/>
        </w:rPr>
        <w:t> </w:t>
      </w:r>
      <w:r w:rsidRPr="00EC233F">
        <w:rPr>
          <w:b/>
        </w:rPr>
        <w:t xml:space="preserve">2020 год </w:t>
      </w:r>
      <w:r w:rsidRPr="0088140D">
        <w:rPr>
          <w:b/>
        </w:rPr>
        <w:t xml:space="preserve">проведены следующие подготовительные мероприятия. </w:t>
      </w:r>
    </w:p>
    <w:p w:rsidR="00EC233F" w:rsidRPr="0088140D" w:rsidRDefault="00EC233F" w:rsidP="00EC233F">
      <w:pPr>
        <w:pStyle w:val="a0"/>
        <w:rPr>
          <w:i/>
        </w:rPr>
      </w:pPr>
      <w:r w:rsidRPr="0088140D">
        <w:rPr>
          <w:u w:val="single"/>
        </w:rPr>
        <w:t xml:space="preserve">1. Актуализация отчетных аналитических форм о создании и деятельности контрольно-счетных органов муниципальных образований и правил их заполнения </w:t>
      </w:r>
      <w:r w:rsidRPr="0088140D">
        <w:rPr>
          <w:i/>
        </w:rPr>
        <w:t xml:space="preserve">(п.2.1.1 плана работы Комиссии, срок исполнения – </w:t>
      </w:r>
      <w:r w:rsidRPr="0088140D">
        <w:rPr>
          <w:i/>
          <w:lang w:val="en-US"/>
        </w:rPr>
        <w:t>I</w:t>
      </w:r>
      <w:r w:rsidRPr="0088140D">
        <w:rPr>
          <w:i/>
        </w:rPr>
        <w:t xml:space="preserve"> квартал 2020 года, отв. И.В. Карнакова, Т.В. Ипатова).</w:t>
      </w:r>
    </w:p>
    <w:p w:rsidR="00EC233F" w:rsidRPr="00EC233F" w:rsidRDefault="00EC233F" w:rsidP="00EC233F">
      <w:pPr>
        <w:pStyle w:val="a0"/>
      </w:pPr>
      <w:r w:rsidRPr="0088140D">
        <w:t>В срок до 12.02.2020 Комиссией проведена работа по актуализации отчетных аналитических форм о создании и деятельности контрольно-счетных органов муниципальных образований и правил их заполнения</w:t>
      </w:r>
      <w:r w:rsidRPr="00EC233F">
        <w:t xml:space="preserve">. </w:t>
      </w:r>
    </w:p>
    <w:p w:rsidR="00EC233F" w:rsidRPr="00EC233F" w:rsidRDefault="00EC233F" w:rsidP="00EC233F">
      <w:pPr>
        <w:pStyle w:val="a0"/>
      </w:pPr>
      <w:r w:rsidRPr="00EC233F">
        <w:t>Для сбора данных на Портале Счетной палаты Российской Федерации и контрольно-счетных органов Российской Федерации (далее – Портал) в адрес Департамента международного и регионального сотрудничества аппарата Счетной палаты Российской Федерации Комиссией направлено соответствующее обращение (письмо от 21.02.2020 №1-17/02/124).</w:t>
      </w:r>
    </w:p>
    <w:p w:rsidR="00EC233F" w:rsidRPr="0088140D" w:rsidRDefault="00EC233F" w:rsidP="00EC233F">
      <w:pPr>
        <w:pStyle w:val="a0"/>
      </w:pPr>
      <w:r w:rsidRPr="0088140D">
        <w:t xml:space="preserve">В отсутствие в 2020 году технической поддержки Системы сбора и анализа информации </w:t>
      </w:r>
      <w:r w:rsidRPr="0088140D">
        <w:lastRenderedPageBreak/>
        <w:t xml:space="preserve">портала Счетной палаты РФ и контрольно-счетных органов РФ со стороны ФКУ «Центр экспертно-аналитических и информационных технологий Счетной палаты Российской Федерации» Комиссией принято решение о сборе информации посредством таблиц </w:t>
      </w:r>
      <w:r w:rsidRPr="0088140D">
        <w:rPr>
          <w:lang w:val="en-US"/>
        </w:rPr>
        <w:t>EXCEL</w:t>
      </w:r>
      <w:r w:rsidRPr="0088140D">
        <w:t>, что потребовало дополнительной корректировки форм и правил с исключением составляющей о сборе данных на Портале.</w:t>
      </w:r>
    </w:p>
    <w:p w:rsidR="00EC233F" w:rsidRPr="0088140D" w:rsidRDefault="00EC233F" w:rsidP="00EC233F">
      <w:pPr>
        <w:pStyle w:val="a0"/>
      </w:pPr>
      <w:r w:rsidRPr="0088140D">
        <w:t>Подготовленные материалы утверждены членами Комиссии в рамках заочного заседания 27.03.2020 (протокол от 27.03.2020 № 2).</w:t>
      </w:r>
    </w:p>
    <w:p w:rsidR="00EC233F" w:rsidRPr="0088140D" w:rsidRDefault="00EC233F" w:rsidP="00EC233F">
      <w:pPr>
        <w:pStyle w:val="a0"/>
      </w:pPr>
      <w:r w:rsidRPr="0088140D">
        <w:t>2. Сбор информации о практике организации и проведения совместных и параллельных мероприятий, участниками которых являются контрольно-счетные органы муниципальных образований, за период 2018 и 2019 годов и о практике применения контрольно-счетными органами муниципальных образований Кодекса Российской Федерации об административных правонарушениях за 2019 год проводился на основе опросных листов, разработанных и утвержденных Комиссией (протокол от 27.03.2020 №2).</w:t>
      </w:r>
    </w:p>
    <w:p w:rsidR="00EC233F" w:rsidRPr="0088140D" w:rsidRDefault="00EC233F" w:rsidP="00EC233F">
      <w:pPr>
        <w:pStyle w:val="a0"/>
      </w:pPr>
      <w:r w:rsidRPr="0088140D">
        <w:t>3. Для сбора информации о создании и деятельности муниципальных контрольно-счетных органов, включая участие их в совместных и параллельных мероприятиях, а</w:t>
      </w:r>
      <w:r w:rsidR="00AE7D62" w:rsidRPr="0088140D">
        <w:t> </w:t>
      </w:r>
      <w:r w:rsidRPr="0088140D">
        <w:t>также о применении МКСО КоАП РФ, Комиссией направлены следующие письма:</w:t>
      </w:r>
    </w:p>
    <w:p w:rsidR="00EC233F" w:rsidRPr="0088140D" w:rsidRDefault="00EC233F" w:rsidP="00AE7D62">
      <w:pPr>
        <w:pStyle w:val="1"/>
      </w:pPr>
      <w:r w:rsidRPr="0088140D">
        <w:t>в адрес контрольно-счетных органов субъектов РФ - о направлении отчетных аналитических форм и правил их заполнения, а также опросных листов с</w:t>
      </w:r>
      <w:r w:rsidR="00AE7D62" w:rsidRPr="0088140D">
        <w:t> </w:t>
      </w:r>
      <w:r w:rsidRPr="0088140D">
        <w:t xml:space="preserve">установлением срока предоставления информации в Контрольно-счетную палату Вологодской области – до 25.05.2020  (письмо от 06.04.2020 </w:t>
      </w:r>
      <w:r w:rsidR="00AE7D62" w:rsidRPr="0088140D">
        <w:br/>
      </w:r>
      <w:r w:rsidRPr="0088140D">
        <w:t>№1-17/02/343);</w:t>
      </w:r>
    </w:p>
    <w:p w:rsidR="00EC233F" w:rsidRPr="0088140D" w:rsidRDefault="00EC233F" w:rsidP="00AE7D62">
      <w:pPr>
        <w:pStyle w:val="1"/>
      </w:pPr>
      <w:r w:rsidRPr="0088140D">
        <w:t>в адрес руководителей отделений Совета контрольно-счетных органов при Счетной палате РФ в федеральных округах – с просьбой оказать содействие по</w:t>
      </w:r>
      <w:r w:rsidR="00AE7D62" w:rsidRPr="0088140D">
        <w:rPr>
          <w:lang w:val="en-US"/>
        </w:rPr>
        <w:t> </w:t>
      </w:r>
      <w:r w:rsidRPr="0088140D">
        <w:t xml:space="preserve">контролю за предоставлением сведений регионами (письмо от 13.04.2020 </w:t>
      </w:r>
      <w:r w:rsidR="00AE7D62" w:rsidRPr="0088140D">
        <w:br/>
      </w:r>
      <w:r w:rsidRPr="0088140D">
        <w:t>№1-17/02/353).</w:t>
      </w:r>
    </w:p>
    <w:p w:rsidR="00EC233F" w:rsidRPr="0088140D" w:rsidRDefault="00EC233F" w:rsidP="00EC233F">
      <w:pPr>
        <w:pStyle w:val="a0"/>
      </w:pPr>
      <w:r w:rsidRPr="0088140D">
        <w:t>4. В целях организации работы осуществлялась координация деятельности членов Комиссии, ответственных за сбор, обобщение и анализ информации, посредством ведения оперативной переписки и телефонных переговоров.</w:t>
      </w:r>
    </w:p>
    <w:p w:rsidR="00EC233F" w:rsidRPr="0088140D" w:rsidRDefault="00EC233F" w:rsidP="00EC233F">
      <w:pPr>
        <w:pStyle w:val="a0"/>
        <w:rPr>
          <w:bCs/>
        </w:rPr>
      </w:pPr>
      <w:r w:rsidRPr="0088140D">
        <w:rPr>
          <w:bCs/>
        </w:rPr>
        <w:t xml:space="preserve">На момент составления настоящего отчета все мероприятия по мониторингу и анализу, предусмотренные планом работы Комиссии на 2020 год, выполнены. Подготовлено </w:t>
      </w:r>
      <w:r w:rsidRPr="0088140D">
        <w:rPr>
          <w:bCs/>
        </w:rPr>
        <w:lastRenderedPageBreak/>
        <w:t>5</w:t>
      </w:r>
      <w:r w:rsidR="00AE7D62" w:rsidRPr="0088140D">
        <w:rPr>
          <w:bCs/>
        </w:rPr>
        <w:t> </w:t>
      </w:r>
      <w:r w:rsidRPr="0088140D">
        <w:rPr>
          <w:bCs/>
        </w:rPr>
        <w:t>аналитических записок. Результаты сбора, обобщения и анализа информации о деятельности МКСО представлены далее в отчете.</w:t>
      </w:r>
    </w:p>
    <w:p w:rsidR="00EC233F" w:rsidRPr="0088140D" w:rsidRDefault="00EC233F" w:rsidP="00EC233F">
      <w:pPr>
        <w:pStyle w:val="a0"/>
        <w:rPr>
          <w:b/>
        </w:rPr>
      </w:pPr>
      <w:r w:rsidRPr="0088140D">
        <w:rPr>
          <w:b/>
        </w:rPr>
        <w:t>В соответствии с планом работы Комиссии на 2020 год проведены следующие мероприятия по сбору и обобщению информации.</w:t>
      </w:r>
    </w:p>
    <w:p w:rsidR="00EC233F" w:rsidRPr="0088140D" w:rsidRDefault="00EC233F" w:rsidP="00EC233F">
      <w:pPr>
        <w:pStyle w:val="a0"/>
        <w:rPr>
          <w:i/>
        </w:rPr>
      </w:pPr>
      <w:r w:rsidRPr="0088140D">
        <w:rPr>
          <w:u w:val="single"/>
        </w:rPr>
        <w:t xml:space="preserve">1. Сбор и обобщение информации о создании контрольно-счетных органов муниципальных образований и их объединений по состоянию на 1 января 2020 года </w:t>
      </w:r>
      <w:r w:rsidRPr="0088140D">
        <w:rPr>
          <w:i/>
        </w:rPr>
        <w:t xml:space="preserve">(п.2.1.2 плана работы Комиссии, срок исполнения – </w:t>
      </w:r>
      <w:r w:rsidRPr="0088140D">
        <w:rPr>
          <w:i/>
          <w:lang w:val="en-US"/>
        </w:rPr>
        <w:t>III</w:t>
      </w:r>
      <w:r w:rsidRPr="0088140D">
        <w:rPr>
          <w:i/>
        </w:rPr>
        <w:t xml:space="preserve"> квартал 2020 года, отв. Д.Ч. Кясова, А-Х.С. Байбетиров, С.В. Лозовский).</w:t>
      </w:r>
    </w:p>
    <w:p w:rsidR="00EC233F" w:rsidRPr="0088140D" w:rsidRDefault="00EC233F" w:rsidP="00EC233F">
      <w:pPr>
        <w:pStyle w:val="a0"/>
      </w:pPr>
      <w:r w:rsidRPr="0088140D">
        <w:t>Информация для анализа о наличии МКСО представлена всеми субъектами РФ.</w:t>
      </w:r>
    </w:p>
    <w:p w:rsidR="00EC233F" w:rsidRPr="0088140D" w:rsidRDefault="00EC233F" w:rsidP="00EC233F">
      <w:pPr>
        <w:pStyle w:val="a0"/>
      </w:pPr>
      <w:r w:rsidRPr="0088140D">
        <w:t>В процессе обобщения Комиссией велась проверка и корректировка полученных сведений. На основе уточненных исходных таблиц «Сведения о созданных КСО МО и</w:t>
      </w:r>
      <w:r w:rsidR="00AE7D62" w:rsidRPr="0088140D">
        <w:t> </w:t>
      </w:r>
      <w:r w:rsidRPr="0088140D">
        <w:t xml:space="preserve">их объединениях в субъекте РФ на 01.01.2020» сформирован свод данных в формате таблиц </w:t>
      </w:r>
      <w:r w:rsidRPr="0088140D">
        <w:rPr>
          <w:lang w:val="en-US"/>
        </w:rPr>
        <w:t>EXCEL</w:t>
      </w:r>
      <w:r w:rsidRPr="0088140D">
        <w:t xml:space="preserve"> в разрезе субъектов РФ.</w:t>
      </w:r>
    </w:p>
    <w:p w:rsidR="00EC233F" w:rsidRPr="0088140D" w:rsidRDefault="00EC233F" w:rsidP="00EC233F">
      <w:pPr>
        <w:pStyle w:val="a0"/>
      </w:pPr>
      <w:r w:rsidRPr="0088140D">
        <w:t>Результаты мониторинга представлены в итоговой информации, которая отражает динамику изменения количества муниципальных контрольно-счетных органов и их правового статуса, уровень охвата внешним контролем муниципальных образований на</w:t>
      </w:r>
      <w:r w:rsidR="00AE7D62" w:rsidRPr="0088140D">
        <w:t> </w:t>
      </w:r>
      <w:r w:rsidRPr="0088140D">
        <w:t>основе заключенных соглашений о передаче полномочий, а также данные об</w:t>
      </w:r>
      <w:r w:rsidR="00AE7D62" w:rsidRPr="0088140D">
        <w:t> </w:t>
      </w:r>
      <w:r w:rsidRPr="0088140D">
        <w:t>объединениях КСО, функционирующих в субъектах Российской Федерации, за 2019 год.</w:t>
      </w:r>
    </w:p>
    <w:p w:rsidR="00EC233F" w:rsidRPr="0088140D" w:rsidRDefault="00EC233F" w:rsidP="00EC233F">
      <w:pPr>
        <w:pStyle w:val="a0"/>
        <w:rPr>
          <w:i/>
        </w:rPr>
      </w:pPr>
      <w:r w:rsidRPr="0088140D">
        <w:rPr>
          <w:i/>
        </w:rPr>
        <w:t>Итоги проведенного мониторинга содержат следующие данные.</w:t>
      </w:r>
    </w:p>
    <w:p w:rsidR="00EC233F" w:rsidRPr="0088140D" w:rsidRDefault="00EC233F" w:rsidP="00EC233F">
      <w:pPr>
        <w:pStyle w:val="a0"/>
      </w:pPr>
      <w:r w:rsidRPr="0088140D">
        <w:t>На 01.01.2020 на территории Российской Федерации создано 2159 муниципальных КСО, что составляет 10,4% от общего количества муниципальных образований (20846), в сравнении с предыдущим периодом количество МКСО сократилось на 58 ед., или на 2,6%.</w:t>
      </w:r>
    </w:p>
    <w:p w:rsidR="00EC233F" w:rsidRPr="0088140D" w:rsidRDefault="00EC233F" w:rsidP="00EC233F">
      <w:pPr>
        <w:pStyle w:val="a0"/>
      </w:pPr>
      <w:r w:rsidRPr="0088140D">
        <w:t>Статусом юридического лица обладают 1233, или 57,1% созданных МКСО, что на 1,6 процентных пункта выше уровня предыдущего периода. Рост количества МКСО – юридических лиц за 2019 год составил 2 единицы.</w:t>
      </w:r>
    </w:p>
    <w:p w:rsidR="00EC233F" w:rsidRPr="0088140D" w:rsidRDefault="00EC233F" w:rsidP="00EC233F">
      <w:pPr>
        <w:pStyle w:val="a0"/>
      </w:pPr>
      <w:r w:rsidRPr="0088140D">
        <w:t xml:space="preserve">Правом передачи полномочий на уровень муниципального района воспользовались представительные органы 13293 поселений, на уровень субъекта – 283 муниципальных </w:t>
      </w:r>
      <w:r w:rsidRPr="0088140D">
        <w:lastRenderedPageBreak/>
        <w:t xml:space="preserve">образований. </w:t>
      </w:r>
    </w:p>
    <w:p w:rsidR="00EC233F" w:rsidRPr="0088140D" w:rsidRDefault="00EC233F" w:rsidP="00EC233F">
      <w:pPr>
        <w:pStyle w:val="a0"/>
      </w:pPr>
      <w:r w:rsidRPr="0088140D">
        <w:t>По состоянию на 01.01.2020 внешним финансовым контролем не охвачены 5111 муниципальных образований (24,5%), в том числе 4799 поселений (26,3%), 256 муниципальных районов (15,3%), 34 городских округа (5,4%), 19 внутригородских районов (100%) и 3 муниципальных округа (8,3%).</w:t>
      </w:r>
    </w:p>
    <w:p w:rsidR="00EC233F" w:rsidRPr="0088140D" w:rsidRDefault="00EC233F" w:rsidP="00EC233F">
      <w:pPr>
        <w:pStyle w:val="a0"/>
      </w:pPr>
      <w:r w:rsidRPr="0088140D">
        <w:t>В субъектах РФ создано 79 объединений КСО, 2 из них являются юридическими лицами, 77 правами юридического лица не наделены. В региональных объединениях состоят 1975 МКСО.</w:t>
      </w:r>
    </w:p>
    <w:p w:rsidR="00EC233F" w:rsidRPr="0088140D" w:rsidRDefault="00EC233F" w:rsidP="00EC233F">
      <w:pPr>
        <w:pStyle w:val="a0"/>
      </w:pPr>
      <w:r w:rsidRPr="0088140D">
        <w:t>Итоговая информация по мероприятию «Сбор и обобщение информации о создании контрольно-счетных органов муниципальных образований и их объединений по</w:t>
      </w:r>
      <w:r w:rsidR="00AE7D62" w:rsidRPr="0088140D">
        <w:rPr>
          <w:lang w:val="en-US"/>
        </w:rPr>
        <w:t> </w:t>
      </w:r>
      <w:r w:rsidRPr="0088140D">
        <w:t>состоянию на 01.01.2020» принята решением Комиссии в рамках заочного заседания 30.09.2020 (протокол от 30.09.2020 № 3).</w:t>
      </w:r>
    </w:p>
    <w:p w:rsidR="00EC233F" w:rsidRPr="0088140D" w:rsidRDefault="00EC233F" w:rsidP="00EC233F">
      <w:pPr>
        <w:pStyle w:val="a0"/>
        <w:rPr>
          <w:i/>
        </w:rPr>
      </w:pPr>
      <w:r w:rsidRPr="0088140D">
        <w:rPr>
          <w:u w:val="single"/>
        </w:rPr>
        <w:t>2. Сбор и обобщение информации о штатной и фактической численности контрольно-счетных органов муниципальных образований, включая сведения об уровне квалификации работников контрольно-счетных органов муниципальных образований по состоянию на 1 января 2020 года</w:t>
      </w:r>
      <w:r w:rsidRPr="0088140D">
        <w:t xml:space="preserve"> </w:t>
      </w:r>
      <w:r w:rsidRPr="0088140D">
        <w:rPr>
          <w:i/>
        </w:rPr>
        <w:t xml:space="preserve">(п.2.1.3 плана работы Комиссии, срок исполнения – </w:t>
      </w:r>
      <w:r w:rsidRPr="0088140D">
        <w:rPr>
          <w:i/>
          <w:lang w:val="en-US"/>
        </w:rPr>
        <w:t>III</w:t>
      </w:r>
      <w:r w:rsidRPr="0088140D">
        <w:rPr>
          <w:i/>
        </w:rPr>
        <w:t xml:space="preserve"> квартал 2020 года, отв. И.В. Карнакова, В.А. Корсаков, П.В. Эрендженов).</w:t>
      </w:r>
    </w:p>
    <w:p w:rsidR="00EC233F" w:rsidRPr="0088140D" w:rsidRDefault="00EC233F" w:rsidP="00EC233F">
      <w:pPr>
        <w:pStyle w:val="a0"/>
      </w:pPr>
      <w:r w:rsidRPr="0088140D">
        <w:t>Субъектами РФ представлены данные о кадровом обеспечении 2019 МКСО, или 93,5% от общего их числа.</w:t>
      </w:r>
    </w:p>
    <w:p w:rsidR="00EC233F" w:rsidRPr="0088140D" w:rsidRDefault="00EC233F" w:rsidP="00EC233F">
      <w:pPr>
        <w:pStyle w:val="a0"/>
      </w:pPr>
      <w:r w:rsidRPr="0088140D">
        <w:t xml:space="preserve">В процессе обобщения Комиссией велась проверка и корректировка полученных сведений. На основе уточненных исходных таблиц «Кадровое и финансовое обеспечение КСО МО субъекта РФ по состоянию на 01.01.2020»  сформированы сводные аналитические формы в формате таблиц </w:t>
      </w:r>
      <w:r w:rsidRPr="0088140D">
        <w:rPr>
          <w:lang w:val="en-US"/>
        </w:rPr>
        <w:t>EXCEL</w:t>
      </w:r>
      <w:r w:rsidRPr="0088140D">
        <w:t>, позволяющие произвести отбор сведений в разрезе субъектов РФ и по типам муниципальных образований.</w:t>
      </w:r>
    </w:p>
    <w:p w:rsidR="00EC233F" w:rsidRPr="0088140D" w:rsidRDefault="00EC233F" w:rsidP="00EC233F">
      <w:pPr>
        <w:pStyle w:val="a0"/>
      </w:pPr>
      <w:r w:rsidRPr="0088140D">
        <w:t>Результаты мониторинга изложены в итоговой информации, которая отражает данные о штатной и фактической численности, об уровне профессиональной подготовки сотрудников контрольно-счетных органов муниципальных образований субъектов РФ по состоянию на 01.01.2020 в сравнении со сведениями на 01.01.2019. Кроме того, представлены данные о финансовом обеспечении МКСО за 2019 год.</w:t>
      </w:r>
    </w:p>
    <w:p w:rsidR="00EC233F" w:rsidRPr="0088140D" w:rsidRDefault="00EC233F" w:rsidP="00EC233F">
      <w:pPr>
        <w:pStyle w:val="a0"/>
        <w:rPr>
          <w:i/>
        </w:rPr>
      </w:pPr>
      <w:r w:rsidRPr="0088140D">
        <w:rPr>
          <w:i/>
        </w:rPr>
        <w:t>Итоги проведенного мониторинга содержат следующую информацию.</w:t>
      </w:r>
    </w:p>
    <w:p w:rsidR="00EC233F" w:rsidRPr="0088140D" w:rsidRDefault="00EC233F" w:rsidP="00EC233F">
      <w:pPr>
        <w:pStyle w:val="a0"/>
      </w:pPr>
      <w:r w:rsidRPr="0088140D">
        <w:lastRenderedPageBreak/>
        <w:t>На 01.01.2020 штатная численность сотрудников МКСО по представленным 2019 контрольным органам составила 6316 единиц, фактическая - 5748 единиц, укомплектованность кадрами – 91%, что ниже предшествующего периода на 0,3%.</w:t>
      </w:r>
    </w:p>
    <w:p w:rsidR="00EC233F" w:rsidRPr="0088140D" w:rsidRDefault="00EC233F" w:rsidP="00EC233F">
      <w:pPr>
        <w:pStyle w:val="a0"/>
      </w:pPr>
      <w:r w:rsidRPr="0088140D">
        <w:t>Средние параметры штатной и фактической численности МКСО в сравнении с предыдущим периодом не изменились и составили 3,1 единицы и 2,8 единицы соответственно.</w:t>
      </w:r>
    </w:p>
    <w:p w:rsidR="00EC233F" w:rsidRPr="0088140D" w:rsidRDefault="00EC233F" w:rsidP="00EC233F">
      <w:pPr>
        <w:pStyle w:val="a0"/>
      </w:pPr>
      <w:r w:rsidRPr="0088140D">
        <w:t xml:space="preserve">Доля МКСО, штатная численность которых ниже среднего уровня, равна 77,6% (1567 ед. из 2019 МКСО, представивших сведения), при этом треть из них (552 ед.) имеют штат от 0,2 ед. до 1 ед. включительно, 643 МКСО - от 1 ед. до 2 ед. и 372 МКСО - от 2 ед. до 3 ед. включительно. </w:t>
      </w:r>
    </w:p>
    <w:p w:rsidR="00EC233F" w:rsidRPr="0088140D" w:rsidRDefault="00EC233F" w:rsidP="00EC233F">
      <w:pPr>
        <w:pStyle w:val="a0"/>
      </w:pPr>
      <w:r w:rsidRPr="0088140D">
        <w:t xml:space="preserve">Наибольшая штатная численность характерна для КСО городских округов, наименьшая – для КСО поселений. </w:t>
      </w:r>
    </w:p>
    <w:p w:rsidR="00EC233F" w:rsidRPr="0088140D" w:rsidRDefault="00EC233F" w:rsidP="00EC233F">
      <w:pPr>
        <w:pStyle w:val="a0"/>
      </w:pPr>
      <w:r w:rsidRPr="0088140D">
        <w:t>В среднем 76,2% должностей, замещаемых в МКСО, - должности муниципальной службы, 14,8% - муниципальные должности и 9% - должности, не отнесенные к</w:t>
      </w:r>
      <w:r w:rsidR="00AE7D62" w:rsidRPr="0088140D">
        <w:rPr>
          <w:lang w:val="en-US"/>
        </w:rPr>
        <w:t> </w:t>
      </w:r>
      <w:r w:rsidRPr="0088140D">
        <w:t>муниципальным должностям и должностям муниципальной службы.</w:t>
      </w:r>
    </w:p>
    <w:p w:rsidR="00EC233F" w:rsidRPr="0088140D" w:rsidRDefault="00EC233F" w:rsidP="00EC233F">
      <w:pPr>
        <w:pStyle w:val="a0"/>
      </w:pPr>
      <w:r w:rsidRPr="0088140D">
        <w:t>На 01 января 2020 года 97,2% (5590 ед.) специалистов МКСО имеют высшее образование, 2,4% (136 ед.)  – среднее и 0,4% (22 ед.) работников не имеют высшего и</w:t>
      </w:r>
      <w:r w:rsidR="00AE7D62" w:rsidRPr="0088140D">
        <w:rPr>
          <w:lang w:val="en-US"/>
        </w:rPr>
        <w:t> </w:t>
      </w:r>
      <w:r w:rsidRPr="0088140D">
        <w:t>среднего образования. Финансово-экономическим образованием обладает 80,4% (4623 ед.) должностных лиц.</w:t>
      </w:r>
    </w:p>
    <w:p w:rsidR="00EC233F" w:rsidRPr="0088140D" w:rsidRDefault="00EC233F" w:rsidP="00EC233F">
      <w:pPr>
        <w:pStyle w:val="a0"/>
      </w:pPr>
      <w:r w:rsidRPr="0088140D">
        <w:t>Численность специалистов, принявших участие в мероприятиях по профессиональному развитию в отчетном году, составила 2293 человека, или 39,9% работников, в том числе прошли обучение по программам повышения квалификации – 1589 человек, или 27,6%.</w:t>
      </w:r>
    </w:p>
    <w:p w:rsidR="00EC233F" w:rsidRPr="0088140D" w:rsidRDefault="00EC233F" w:rsidP="00EC233F">
      <w:pPr>
        <w:pStyle w:val="a0"/>
      </w:pPr>
      <w:r w:rsidRPr="0088140D">
        <w:t>Итоговая информация по мероприятию «Сбор и обобщение информации о штатной и фактической численности контрольно-счетных органов муниципальных образований, включая сведения об уровне квалификации работников контрольно-счетных органов муниципальных образований по состоянию на 01.01.2020» принята решением Комиссии в рамках заочного заседания 30.09.2020 (протокол от 30.09.2020 № 3).</w:t>
      </w:r>
    </w:p>
    <w:p w:rsidR="00EC233F" w:rsidRPr="0088140D" w:rsidRDefault="00EC233F" w:rsidP="00EC233F">
      <w:pPr>
        <w:pStyle w:val="a0"/>
        <w:rPr>
          <w:i/>
        </w:rPr>
      </w:pPr>
      <w:bookmarkStart w:id="2" w:name="BM100098"/>
      <w:bookmarkEnd w:id="2"/>
      <w:r w:rsidRPr="0088140D">
        <w:t xml:space="preserve">3. </w:t>
      </w:r>
      <w:r w:rsidRPr="0088140D">
        <w:rPr>
          <w:u w:val="single"/>
        </w:rPr>
        <w:t>Сбор и обобщение информации о деятельности контрольно-счетных органов муниципальных образований за 2019 год</w:t>
      </w:r>
      <w:r w:rsidRPr="0088140D">
        <w:t xml:space="preserve"> (</w:t>
      </w:r>
      <w:r w:rsidRPr="0088140D">
        <w:rPr>
          <w:i/>
        </w:rPr>
        <w:t xml:space="preserve">п.2.1.4 плана работы Комиссии, срок исполнения – </w:t>
      </w:r>
      <w:r w:rsidRPr="0088140D">
        <w:rPr>
          <w:i/>
          <w:lang w:val="en-US"/>
        </w:rPr>
        <w:t>III</w:t>
      </w:r>
      <w:r w:rsidRPr="0088140D">
        <w:rPr>
          <w:i/>
        </w:rPr>
        <w:t xml:space="preserve"> квартал 2020 года, отв. И.П. Морохоева, Л.И. Балашева, </w:t>
      </w:r>
      <w:r w:rsidRPr="0088140D">
        <w:rPr>
          <w:i/>
        </w:rPr>
        <w:lastRenderedPageBreak/>
        <w:t>А.В.</w:t>
      </w:r>
      <w:r w:rsidR="000440EB" w:rsidRPr="0088140D">
        <w:rPr>
          <w:i/>
          <w:lang w:val="en-US"/>
        </w:rPr>
        <w:t> </w:t>
      </w:r>
      <w:r w:rsidRPr="0088140D">
        <w:rPr>
          <w:i/>
        </w:rPr>
        <w:t>Долголевец)</w:t>
      </w:r>
    </w:p>
    <w:p w:rsidR="00EC233F" w:rsidRPr="0088140D" w:rsidRDefault="00EC233F" w:rsidP="00EC233F">
      <w:pPr>
        <w:pStyle w:val="a0"/>
      </w:pPr>
      <w:r w:rsidRPr="0088140D">
        <w:t>Субъектами РФ представлены данные о деятельности 1993 МКСО, или 92,3% от их числа. При этом основной объем информации для проведения анализа поступил в отношении КСО муниципальных районов и городских округов – 95,7%, что обусловлено количеством созданных МКСО этих типов. Наименьший объем данных имеется по КСО сельских поселений – 24,6% (по 16 из 65 созданных органов).</w:t>
      </w:r>
    </w:p>
    <w:p w:rsidR="00EC233F" w:rsidRPr="0088140D" w:rsidRDefault="00EC233F" w:rsidP="00EC233F">
      <w:pPr>
        <w:pStyle w:val="a0"/>
      </w:pPr>
      <w:r w:rsidRPr="0088140D">
        <w:t xml:space="preserve">В ходе мероприятия Комиссией проверены и обобщены сведения, характеризующие основные показатели деятельности МКСО за 2019 год, содержащиеся в исходных таблицах: </w:t>
      </w:r>
    </w:p>
    <w:p w:rsidR="00EC233F" w:rsidRPr="0088140D" w:rsidRDefault="00EC233F" w:rsidP="000440EB">
      <w:pPr>
        <w:pStyle w:val="1"/>
      </w:pPr>
      <w:r w:rsidRPr="0088140D">
        <w:t>«Основные показатели деятельности КСО МО в субъекте РФ за 2019 год (часть 1 - организация и проведение КМ и ЭАМ)»;</w:t>
      </w:r>
    </w:p>
    <w:p w:rsidR="00EC233F" w:rsidRPr="0088140D" w:rsidRDefault="00EC233F" w:rsidP="000440EB">
      <w:pPr>
        <w:pStyle w:val="1"/>
      </w:pPr>
      <w:r w:rsidRPr="0088140D">
        <w:t>«Основные показатели деятельности КСО МО в субъекте РФ за 2019 год (часть 2 - результаты КМ и ЭАМ)»;</w:t>
      </w:r>
    </w:p>
    <w:p w:rsidR="00EC233F" w:rsidRPr="0088140D" w:rsidRDefault="00EC233F" w:rsidP="000440EB">
      <w:pPr>
        <w:pStyle w:val="1"/>
      </w:pPr>
      <w:r w:rsidRPr="0088140D">
        <w:t>«Основные показатели деятельности КСО МО в субъекте РФ за 2019 год (часть 3 - реализация результатов КМ и ЭАМ)».</w:t>
      </w:r>
    </w:p>
    <w:p w:rsidR="00EC233F" w:rsidRPr="0088140D" w:rsidRDefault="00EC233F" w:rsidP="00EC233F">
      <w:pPr>
        <w:pStyle w:val="a0"/>
      </w:pPr>
      <w:r w:rsidRPr="0088140D">
        <w:t xml:space="preserve">На основе уточненных исходных таблиц сформированы сводные аналитические формы в формате таблиц </w:t>
      </w:r>
      <w:r w:rsidRPr="0088140D">
        <w:rPr>
          <w:lang w:val="en-US"/>
        </w:rPr>
        <w:t>EXCEL</w:t>
      </w:r>
      <w:r w:rsidRPr="0088140D">
        <w:t xml:space="preserve">, позволяющие произвести отбор сведений в разрезе субъектов РФ и по типам муниципальных образований. </w:t>
      </w:r>
    </w:p>
    <w:p w:rsidR="00EC233F" w:rsidRPr="0088140D" w:rsidRDefault="00EC233F" w:rsidP="00EC233F">
      <w:pPr>
        <w:pStyle w:val="a0"/>
      </w:pPr>
      <w:r w:rsidRPr="0088140D">
        <w:t>Полученные сведения проанализированы в рамках реализации пункта 2.2.1 плана работы Комиссии.</w:t>
      </w:r>
    </w:p>
    <w:p w:rsidR="00EC233F" w:rsidRPr="0088140D" w:rsidRDefault="00EC233F" w:rsidP="00EC233F">
      <w:pPr>
        <w:pStyle w:val="a0"/>
        <w:rPr>
          <w:b/>
        </w:rPr>
      </w:pPr>
      <w:r w:rsidRPr="0088140D">
        <w:rPr>
          <w:b/>
        </w:rPr>
        <w:t>Во исполнение протокольного поручения Президиума Совета и Совета от</w:t>
      </w:r>
      <w:r w:rsidR="000440EB" w:rsidRPr="0088140D">
        <w:rPr>
          <w:b/>
          <w:lang w:val="en-US"/>
        </w:rPr>
        <w:t> </w:t>
      </w:r>
      <w:r w:rsidRPr="0088140D">
        <w:rPr>
          <w:b/>
        </w:rPr>
        <w:t>19.12.2019 (п.2.1.4. протокола №9-СКСО) в соответствии с планом работы Совета Комиссией в 2020 году проведены следующие аналитические мероприятия.</w:t>
      </w:r>
    </w:p>
    <w:p w:rsidR="00EC233F" w:rsidRPr="0088140D" w:rsidRDefault="00EC233F" w:rsidP="00EC233F">
      <w:pPr>
        <w:pStyle w:val="a0"/>
        <w:rPr>
          <w:i/>
        </w:rPr>
      </w:pPr>
      <w:r w:rsidRPr="0088140D">
        <w:rPr>
          <w:u w:val="single"/>
        </w:rPr>
        <w:t>1. Подготовка аналитической записки о деятельности контрольно-счетных органов муниципальных образований в 2019 году</w:t>
      </w:r>
      <w:r w:rsidRPr="0088140D">
        <w:t xml:space="preserve"> </w:t>
      </w:r>
      <w:r w:rsidRPr="0088140D">
        <w:rPr>
          <w:i/>
        </w:rPr>
        <w:t xml:space="preserve">(п.7.4.1 плана работы Совета, п.2.2.1 плана работы Комиссии, срок исполнения – </w:t>
      </w:r>
      <w:r w:rsidRPr="0088140D">
        <w:rPr>
          <w:i/>
          <w:lang w:val="en-US"/>
        </w:rPr>
        <w:t>IV</w:t>
      </w:r>
      <w:r w:rsidRPr="0088140D">
        <w:rPr>
          <w:i/>
        </w:rPr>
        <w:t xml:space="preserve"> квартал 2020 года, отв. И.В. Карнакова, Е.Б.</w:t>
      </w:r>
      <w:r w:rsidR="000440EB" w:rsidRPr="0088140D">
        <w:rPr>
          <w:i/>
          <w:lang w:val="en-US"/>
        </w:rPr>
        <w:t> </w:t>
      </w:r>
      <w:r w:rsidRPr="0088140D">
        <w:rPr>
          <w:i/>
        </w:rPr>
        <w:t>Букарева, Г.Е. Соловьев).</w:t>
      </w:r>
    </w:p>
    <w:p w:rsidR="00EC233F" w:rsidRPr="0088140D" w:rsidRDefault="00EC233F" w:rsidP="00EC233F">
      <w:pPr>
        <w:pStyle w:val="a0"/>
      </w:pPr>
      <w:r w:rsidRPr="0088140D">
        <w:t xml:space="preserve">На основе данных, полученных в рамках выполнения п.2.1.4 плана работы, Комиссией проведен анализ контрольной и экспертно-аналитической деятельности контрольно-счетных органов муниципальных образований за 2019 год, по итогам которого </w:t>
      </w:r>
      <w:r w:rsidRPr="0088140D">
        <w:lastRenderedPageBreak/>
        <w:t>оформлена аналитическая записка.</w:t>
      </w:r>
    </w:p>
    <w:p w:rsidR="00EC233F" w:rsidRPr="0088140D" w:rsidRDefault="00EC233F" w:rsidP="00EC233F">
      <w:pPr>
        <w:pStyle w:val="a0"/>
      </w:pPr>
      <w:r w:rsidRPr="0088140D">
        <w:t>В ходе реализации мероприятия использовались также сведения о созданных муниципальных контрольно-счетных органах, их кадровом и финансовом обеспечении. Сравнительный анализ выполнен с применением данных о деятельности МКСО в 2017 и 2018 годах.</w:t>
      </w:r>
    </w:p>
    <w:p w:rsidR="00EC233F" w:rsidRPr="0088140D" w:rsidRDefault="00EC233F" w:rsidP="00EC233F">
      <w:pPr>
        <w:pStyle w:val="a0"/>
      </w:pPr>
      <w:r w:rsidRPr="0088140D">
        <w:t>Материал в аналитической записке изложен в разрезе федеральных округов и типов муниципальных образований, основные показатели деятельности рассмотрены в расчете на 1 контрольно-счетный орган и 1 сотрудника контрольно-счетного органа.</w:t>
      </w:r>
    </w:p>
    <w:p w:rsidR="00EC233F" w:rsidRPr="0088140D" w:rsidRDefault="00EC233F" w:rsidP="00EC233F">
      <w:pPr>
        <w:pStyle w:val="a0"/>
        <w:rPr>
          <w:i/>
        </w:rPr>
      </w:pPr>
      <w:r w:rsidRPr="0088140D">
        <w:rPr>
          <w:i/>
        </w:rPr>
        <w:t>Итоги проведенного анализа содержат следующую информацию.</w:t>
      </w:r>
    </w:p>
    <w:p w:rsidR="00EC233F" w:rsidRPr="0088140D" w:rsidRDefault="00EC233F" w:rsidP="00EC233F">
      <w:pPr>
        <w:pStyle w:val="a0"/>
      </w:pPr>
      <w:r w:rsidRPr="0088140D">
        <w:t>За 2019 год МКСО проведено 60504 контрольных и экспертно-аналитических мероприятия с охватом 76950 объектов, а также 75960 экспертиз проектов муниципальных правовых актов.</w:t>
      </w:r>
    </w:p>
    <w:p w:rsidR="00EC233F" w:rsidRPr="0088140D" w:rsidRDefault="00EC233F" w:rsidP="00EC233F">
      <w:pPr>
        <w:pStyle w:val="a0"/>
      </w:pPr>
      <w:r w:rsidRPr="0088140D">
        <w:t>Установлено 405823 финансовых нарушения в объеме 353812,5 млн. рублей. Устранено 152805 нарушений на общую сумму 196656,3 млн. рублей, из которых по 8035 нарушениям обеспечен возврат средств в бюджеты всех уровней бюджетной системы РФ в объеме 1435,3 млн. рублей.</w:t>
      </w:r>
    </w:p>
    <w:p w:rsidR="00EC233F" w:rsidRPr="0088140D" w:rsidRDefault="00EC233F" w:rsidP="00EC233F">
      <w:pPr>
        <w:pStyle w:val="a0"/>
      </w:pPr>
      <w:r w:rsidRPr="0088140D">
        <w:t>За отчетный период по результатам проведенных мероприятий МКСО направлено 17232 представления и предписания, а также 45731 информационное письмо. Количество случаев передачи материалов в правоохранительные органы составило 11841.</w:t>
      </w:r>
    </w:p>
    <w:p w:rsidR="00EC233F" w:rsidRPr="0088140D" w:rsidRDefault="00EC233F" w:rsidP="00EC233F">
      <w:pPr>
        <w:pStyle w:val="a0"/>
      </w:pPr>
      <w:r w:rsidRPr="0088140D">
        <w:t>В 2019 году должностными лицами муниципальных КСО</w:t>
      </w:r>
      <w:r w:rsidR="003F0F1B" w:rsidRPr="0088140D">
        <w:t xml:space="preserve"> </w:t>
      </w:r>
      <w:r w:rsidRPr="0088140D">
        <w:t>возбуждено 3021 дело об</w:t>
      </w:r>
      <w:r w:rsidR="003F0F1B" w:rsidRPr="0088140D">
        <w:t> </w:t>
      </w:r>
      <w:r w:rsidRPr="0088140D">
        <w:t xml:space="preserve">административных правонарушениях, по 2475 делам судебными органами вынесены постановления о назначении административного наказания. </w:t>
      </w:r>
    </w:p>
    <w:p w:rsidR="00EC233F" w:rsidRPr="0088140D" w:rsidRDefault="00EC233F" w:rsidP="00EC233F">
      <w:pPr>
        <w:pStyle w:val="a0"/>
      </w:pPr>
      <w:r w:rsidRPr="0088140D">
        <w:t>По результатам рассмотрения материалов, подготовленных МКСО, правоохранительными органами в 2019 году принято 320 решений о возбуждении уголовного дела, возбуждено 524 дела об административных правонарушениях и</w:t>
      </w:r>
      <w:r w:rsidR="003F0F1B" w:rsidRPr="0088140D">
        <w:t> </w:t>
      </w:r>
      <w:r w:rsidRPr="0088140D">
        <w:t>принято 1856 иных мер прокурорского реагирования.</w:t>
      </w:r>
    </w:p>
    <w:p w:rsidR="00EC233F" w:rsidRPr="0088140D" w:rsidRDefault="00EC233F" w:rsidP="00EC233F">
      <w:pPr>
        <w:pStyle w:val="a0"/>
      </w:pPr>
      <w:r w:rsidRPr="0088140D">
        <w:t>Кроме того, по обращениям КСО уполномоченными органами возбуждено 791 дело об</w:t>
      </w:r>
      <w:r w:rsidR="003F0F1B" w:rsidRPr="0088140D">
        <w:t> </w:t>
      </w:r>
      <w:r w:rsidRPr="0088140D">
        <w:t xml:space="preserve">административных правонарушениях. В целом по результатам деятельности МКСО </w:t>
      </w:r>
      <w:r w:rsidRPr="0088140D">
        <w:lastRenderedPageBreak/>
        <w:t>в</w:t>
      </w:r>
      <w:r w:rsidR="003F0F1B" w:rsidRPr="0088140D">
        <w:t> </w:t>
      </w:r>
      <w:r w:rsidRPr="0088140D">
        <w:t>2019 году привлечено к административной ответственности</w:t>
      </w:r>
      <w:r w:rsidR="003F0F1B" w:rsidRPr="0088140D">
        <w:t xml:space="preserve"> </w:t>
      </w:r>
      <w:r w:rsidRPr="0088140D">
        <w:t>2468 должностных и 370 юридических лиц, 7337 лиц привлечено к дисциплинарной ответственности.</w:t>
      </w:r>
    </w:p>
    <w:p w:rsidR="00EC233F" w:rsidRPr="0088140D" w:rsidRDefault="00EC233F" w:rsidP="00EC233F">
      <w:pPr>
        <w:pStyle w:val="a0"/>
      </w:pPr>
      <w:r w:rsidRPr="0088140D">
        <w:t>Аналитическая записка о деятельности контрольно-счетных органов муниципальных образований в 2019 году принята решением Комиссии в рамках заочного заседания 30.11.2020 (протокол от 30.11.2020 № 4).</w:t>
      </w:r>
    </w:p>
    <w:p w:rsidR="00EC233F" w:rsidRPr="0088140D" w:rsidRDefault="00EC233F" w:rsidP="00EC233F">
      <w:pPr>
        <w:pStyle w:val="a0"/>
        <w:rPr>
          <w:i/>
        </w:rPr>
      </w:pPr>
      <w:r w:rsidRPr="0088140D">
        <w:rPr>
          <w:u w:val="single"/>
        </w:rPr>
        <w:t>2. Анализ практики организации и проведения совместных и параллельных мероприятий, участниками которых являются контрольно-счетные органы муниципальных образований, за период 2018 и 2019 годов</w:t>
      </w:r>
      <w:r w:rsidRPr="0088140D">
        <w:rPr>
          <w:i/>
        </w:rPr>
        <w:t xml:space="preserve"> (п.7.4.2 плана работы Совета, п.2.2.2 плана работы Комиссии, срок исполнения – </w:t>
      </w:r>
      <w:r w:rsidRPr="0088140D">
        <w:rPr>
          <w:i/>
          <w:lang w:val="en-US"/>
        </w:rPr>
        <w:t>IV</w:t>
      </w:r>
      <w:r w:rsidRPr="0088140D">
        <w:rPr>
          <w:i/>
        </w:rPr>
        <w:t xml:space="preserve"> квартал 2020 года, отв. О.Н. Чернядьева, Т.Л. Метелькова, А.А. Лошкин).</w:t>
      </w:r>
    </w:p>
    <w:p w:rsidR="00EC233F" w:rsidRPr="0088140D" w:rsidRDefault="00EC233F" w:rsidP="00EC233F">
      <w:pPr>
        <w:pStyle w:val="a0"/>
      </w:pPr>
      <w:r w:rsidRPr="0088140D">
        <w:t xml:space="preserve">Сбор информации в целях реализации мероприятия проводился на основе опросного листа «Анализ практики организации и проведения совместных и параллельных мероприятий, участниками которых являются контрольно-счетные органы муниципальных образований, за период 2018 и 2019 годов». </w:t>
      </w:r>
    </w:p>
    <w:p w:rsidR="00EC233F" w:rsidRPr="0088140D" w:rsidRDefault="00EC233F" w:rsidP="00EC233F">
      <w:pPr>
        <w:pStyle w:val="a0"/>
      </w:pPr>
      <w:r w:rsidRPr="0088140D">
        <w:t>В опросе приняли участие 2002 (92,7%) из 2159 МКСО, созданных в Российской Федерации на 01.01.2020.</w:t>
      </w:r>
    </w:p>
    <w:p w:rsidR="00EC233F" w:rsidRPr="0088140D" w:rsidRDefault="00EC233F" w:rsidP="00EC233F">
      <w:pPr>
        <w:pStyle w:val="a0"/>
      </w:pPr>
      <w:r w:rsidRPr="0088140D">
        <w:t xml:space="preserve">Результаты проведенного анализа оформлены аналитической запиской, которая отражает, в том числе положительную практику и проблемы, возникающие при организации и проведении совместных и параллельных мероприятий. </w:t>
      </w:r>
    </w:p>
    <w:p w:rsidR="00EC233F" w:rsidRPr="0088140D" w:rsidRDefault="00EC233F" w:rsidP="00EC233F">
      <w:pPr>
        <w:pStyle w:val="a0"/>
        <w:rPr>
          <w:i/>
        </w:rPr>
      </w:pPr>
      <w:r w:rsidRPr="0088140D">
        <w:rPr>
          <w:i/>
        </w:rPr>
        <w:t>Итоги проведенного анализа содержат следующую информацию.</w:t>
      </w:r>
    </w:p>
    <w:p w:rsidR="00EC233F" w:rsidRPr="0088140D" w:rsidRDefault="00EC233F" w:rsidP="00EC233F">
      <w:pPr>
        <w:pStyle w:val="a0"/>
      </w:pPr>
      <w:r w:rsidRPr="0088140D">
        <w:t xml:space="preserve">Опыт участия в совместных мероприятиях с момента образования имеют 922 (или 46,1%) опрошенных МКСО, в параллельных – 654 (или 32,7%) МКСО. Не имеют опыта участия в совместных и параллельных мероприятиях 820 МКСО (41%). </w:t>
      </w:r>
    </w:p>
    <w:p w:rsidR="00EC233F" w:rsidRPr="0088140D" w:rsidRDefault="00EC233F" w:rsidP="00EC233F">
      <w:pPr>
        <w:pStyle w:val="a0"/>
      </w:pPr>
      <w:r w:rsidRPr="0088140D">
        <w:t>В 611 (или в 30,5%) МКСО разработаны стандарты, регулирующие проведение совместных (параллельных) мероприятий. Методические документы имеет 151 (или 7,5%) МКСО.</w:t>
      </w:r>
    </w:p>
    <w:p w:rsidR="00EC233F" w:rsidRPr="0088140D" w:rsidRDefault="00EC233F" w:rsidP="00EC233F">
      <w:pPr>
        <w:pStyle w:val="a0"/>
      </w:pPr>
      <w:r w:rsidRPr="0088140D">
        <w:t xml:space="preserve">В 2018-2019 годах контрольно-счетные органы 21 субъекта РФ (25,6%) не использовали возможность привлечения к контрольным и экспертно-аналитическим мероприятиям МКСО. При этом в 12 регионах (14,6%) практика проведения совместных </w:t>
      </w:r>
      <w:r w:rsidRPr="0088140D">
        <w:lastRenderedPageBreak/>
        <w:t>(параллельных) мероприятий отсутствует с момента образования МКСО.</w:t>
      </w:r>
    </w:p>
    <w:p w:rsidR="00EC233F" w:rsidRPr="0088140D" w:rsidRDefault="00EC233F" w:rsidP="00EC233F">
      <w:pPr>
        <w:pStyle w:val="a0"/>
      </w:pPr>
      <w:r w:rsidRPr="0088140D">
        <w:t>В целом за рассматриваемый период при участии МКСО проведено 327 мероприятий, в том числе 318 по инициативе КСО субъекта и 9 по предложению муниципальных контролеров. В 14 субъектах имелась практика привлечения МКСО к совместным (параллельным) мероприятиям, проводимым Счетной палатой РФ с КСО региона.</w:t>
      </w:r>
    </w:p>
    <w:p w:rsidR="00EC233F" w:rsidRPr="0088140D" w:rsidRDefault="00EC233F" w:rsidP="00EC233F">
      <w:pPr>
        <w:pStyle w:val="a0"/>
      </w:pPr>
      <w:r w:rsidRPr="0088140D">
        <w:t xml:space="preserve">Соглашения о взаимодействии с КСО субъекта РФ имеют 1112 (или 51,5%) МКСО. Сотрудничество между муниципальными КСО осуществляется в основном в рамках регионального Совета.  </w:t>
      </w:r>
    </w:p>
    <w:p w:rsidR="00EC233F" w:rsidRPr="0088140D" w:rsidRDefault="00EC233F" w:rsidP="00EC233F">
      <w:pPr>
        <w:pStyle w:val="a0"/>
      </w:pPr>
      <w:r w:rsidRPr="0088140D">
        <w:t>В числе проблем организации и проведения совместных (параллельных) мероприятий участниками опроса отмечены: малочисленный состав МКСО (1-2 человека), недостаточная квалификация сотрудников; территориальная удаленность муниципальных образований, невысокий уровень материально-технического обеспечения, отсутствие электронного документооборота и низкое качество связи.</w:t>
      </w:r>
    </w:p>
    <w:p w:rsidR="00EC233F" w:rsidRPr="0088140D" w:rsidRDefault="00EC233F" w:rsidP="00EC233F">
      <w:pPr>
        <w:pStyle w:val="a0"/>
      </w:pPr>
      <w:r w:rsidRPr="0088140D">
        <w:t>Аналитическая записка «Анализ практики организации и проведения совместных и</w:t>
      </w:r>
      <w:r w:rsidR="000440EB" w:rsidRPr="0088140D">
        <w:rPr>
          <w:lang w:val="en-US"/>
        </w:rPr>
        <w:t> </w:t>
      </w:r>
      <w:r w:rsidRPr="0088140D">
        <w:t xml:space="preserve">параллельных мероприятий, участниками которых являются контрольно-счетные органы муниципальных образований, за период 2018 и 2019 годов» принята решением Комиссии в рамках заочного заседания 30.11.2020 (протокол от 30.11.2020 № 4). </w:t>
      </w:r>
    </w:p>
    <w:p w:rsidR="00EC233F" w:rsidRPr="0088140D" w:rsidRDefault="00EC233F" w:rsidP="00EC233F">
      <w:pPr>
        <w:pStyle w:val="a0"/>
        <w:rPr>
          <w:i/>
        </w:rPr>
      </w:pPr>
      <w:r w:rsidRPr="0088140D">
        <w:rPr>
          <w:u w:val="single"/>
        </w:rPr>
        <w:t>3. Анализ практики применения контрольно-счетными органами муниципальных образований Кодекса Российской Федерации об административных правонарушениях за 2019 год</w:t>
      </w:r>
      <w:r w:rsidRPr="0088140D">
        <w:t xml:space="preserve"> </w:t>
      </w:r>
      <w:r w:rsidRPr="0088140D">
        <w:rPr>
          <w:bCs/>
        </w:rPr>
        <w:t xml:space="preserve"> </w:t>
      </w:r>
      <w:r w:rsidRPr="0088140D">
        <w:rPr>
          <w:bCs/>
          <w:i/>
        </w:rPr>
        <w:t xml:space="preserve">(п. 7.4.3 плана работы Совета, п.2.2.3 плана работы Комиссии, </w:t>
      </w:r>
      <w:r w:rsidRPr="0088140D">
        <w:rPr>
          <w:i/>
        </w:rPr>
        <w:t xml:space="preserve">срок исполнения – </w:t>
      </w:r>
      <w:r w:rsidRPr="0088140D">
        <w:rPr>
          <w:i/>
          <w:lang w:val="en-US"/>
        </w:rPr>
        <w:t>IV</w:t>
      </w:r>
      <w:r w:rsidRPr="0088140D">
        <w:rPr>
          <w:i/>
        </w:rPr>
        <w:t xml:space="preserve"> квартал 2020 года, отв. В.Ж. Маркунас, Ю.Б. Просвиркин).</w:t>
      </w:r>
    </w:p>
    <w:p w:rsidR="00EC233F" w:rsidRPr="0088140D" w:rsidRDefault="00EC233F" w:rsidP="00EC233F">
      <w:pPr>
        <w:pStyle w:val="a0"/>
        <w:rPr>
          <w:bCs/>
        </w:rPr>
      </w:pPr>
      <w:r w:rsidRPr="0088140D">
        <w:t>Сбор информации в целях реализации мероприятия проводился на основе опросного листа «Анализ практики применения контрольно-счетными органами муниципальных образований Кодекса Российской Федерации об административных правонарушениях за 2019 год»</w:t>
      </w:r>
      <w:r w:rsidRPr="0088140D">
        <w:rPr>
          <w:bCs/>
        </w:rPr>
        <w:t>.</w:t>
      </w:r>
    </w:p>
    <w:p w:rsidR="00EC233F" w:rsidRPr="0088140D" w:rsidRDefault="00EC233F" w:rsidP="00EC233F">
      <w:pPr>
        <w:pStyle w:val="a0"/>
      </w:pPr>
      <w:r w:rsidRPr="0088140D">
        <w:t>При проведении анализа использовались также данные, полученные Комиссией в 2017 году в рамках реализации мероприятия «Обобщение опыта контрольно-счетных органов муниципальных образований по осуществлению производства по делам об административных правонарушениях за 2016 год».</w:t>
      </w:r>
    </w:p>
    <w:p w:rsidR="00EC233F" w:rsidRPr="0088140D" w:rsidRDefault="00EC233F" w:rsidP="00EC233F">
      <w:pPr>
        <w:pStyle w:val="a0"/>
      </w:pPr>
      <w:r w:rsidRPr="0088140D">
        <w:t xml:space="preserve">В рамках опроса поступили сведения в отношении 2002 (92,7%) из 2159 МКСО, </w:t>
      </w:r>
      <w:r w:rsidRPr="0088140D">
        <w:lastRenderedPageBreak/>
        <w:t>созданных в Российской Федерации на 01.01.2020.</w:t>
      </w:r>
    </w:p>
    <w:p w:rsidR="00EC233F" w:rsidRPr="0088140D" w:rsidRDefault="00EC233F" w:rsidP="00EC233F">
      <w:pPr>
        <w:pStyle w:val="a0"/>
      </w:pPr>
      <w:r w:rsidRPr="0088140D">
        <w:t>Результаты проведенного анализа оформлены аналитической запиской, которая отражает, в том числе трудности, возникающие у МКСО в ходе производства по делам об административных правонарушениях.</w:t>
      </w:r>
    </w:p>
    <w:p w:rsidR="00EC233F" w:rsidRPr="0088140D" w:rsidRDefault="00EC233F" w:rsidP="00EC233F">
      <w:pPr>
        <w:pStyle w:val="a0"/>
        <w:rPr>
          <w:i/>
        </w:rPr>
      </w:pPr>
      <w:r w:rsidRPr="0088140D">
        <w:rPr>
          <w:i/>
        </w:rPr>
        <w:t>Итоги проведенного анализа содержат следующую информацию.</w:t>
      </w:r>
    </w:p>
    <w:p w:rsidR="00EC233F" w:rsidRPr="0088140D" w:rsidRDefault="00EC233F" w:rsidP="00EC233F">
      <w:pPr>
        <w:pStyle w:val="a0"/>
      </w:pPr>
      <w:r w:rsidRPr="0088140D">
        <w:t xml:space="preserve">По состоянию на 01.01.2020 во всех субъектах РФ утверждены перечни должностных лиц МКСО, которым  предоставлено право составлять протоколы об административных правонарушениях, предусмотренных статьями 5.21, 7.32.6, 15.1, 15.14 - 15.15.16, частью 1 статьи 19.4, статьей 19.4.1, частями 20 и 20.1 статьи 19.5, статьями 19.6 и 19.7 КоАП РФ. </w:t>
      </w:r>
    </w:p>
    <w:p w:rsidR="00EC233F" w:rsidRPr="0088140D" w:rsidRDefault="00EC233F" w:rsidP="00EC233F">
      <w:pPr>
        <w:pStyle w:val="a0"/>
      </w:pPr>
      <w:r w:rsidRPr="0088140D">
        <w:t>Практика осуществления производства по делам об административных правонарушениях отсутствует с момента образования у 1170 (или 58,4%) МКСО, в 2019 году – у 1505 (или 75,2%) из 2002, представивших сведения.</w:t>
      </w:r>
    </w:p>
    <w:p w:rsidR="00EC233F" w:rsidRPr="0088140D" w:rsidRDefault="00EC233F" w:rsidP="00EC233F">
      <w:pPr>
        <w:pStyle w:val="a0"/>
      </w:pPr>
      <w:r w:rsidRPr="0088140D">
        <w:t>В 2019 году должностными лицами 497 МКСО из 68 регионов РФ (или 24,8% МКСО от</w:t>
      </w:r>
      <w:r w:rsidR="000440EB" w:rsidRPr="0088140D">
        <w:rPr>
          <w:lang w:val="en-US"/>
        </w:rPr>
        <w:t> </w:t>
      </w:r>
      <w:r w:rsidRPr="0088140D">
        <w:t>представивших сведения), составлено 2927 протоколов по 20 составам административных правонарушений. Сумма штрафов составила 20322,4 тыс. рублей.</w:t>
      </w:r>
    </w:p>
    <w:p w:rsidR="00EC233F" w:rsidRPr="0088140D" w:rsidRDefault="00EC233F" w:rsidP="00EC233F">
      <w:pPr>
        <w:pStyle w:val="a0"/>
      </w:pPr>
      <w:r w:rsidRPr="0088140D">
        <w:t>На 01.01.2020 судебными органами приняты решения по 2822 (96,4%) протоколам, в</w:t>
      </w:r>
      <w:r w:rsidR="000440EB" w:rsidRPr="0088140D">
        <w:rPr>
          <w:lang w:val="en-US"/>
        </w:rPr>
        <w:t> </w:t>
      </w:r>
      <w:r w:rsidRPr="0088140D">
        <w:t>том числе по 2637 (93,4%) привлекаемые к административной ответственности лица признаны виновными и по 185 (6,6%) – производства по возбужденным делам прекращены по основаниям ст.24.5 КоАП РФ.</w:t>
      </w:r>
    </w:p>
    <w:p w:rsidR="00EC233F" w:rsidRPr="0088140D" w:rsidRDefault="00EC233F" w:rsidP="00EC233F">
      <w:pPr>
        <w:pStyle w:val="a0"/>
      </w:pPr>
      <w:r w:rsidRPr="0088140D">
        <w:t>Наиболее значимой причиной, препятствующей осуществлению МКСО производства по делам об административных правонарушениях (по оценке МКСО) является отсутствие юридического сопровождения, на что влияет недостаточная штатная численность органов внешнего муниципального финансового контроля.</w:t>
      </w:r>
    </w:p>
    <w:p w:rsidR="00EC233F" w:rsidRPr="0088140D" w:rsidRDefault="00EC233F" w:rsidP="00EC233F">
      <w:pPr>
        <w:pStyle w:val="a0"/>
      </w:pPr>
      <w:r w:rsidRPr="0088140D">
        <w:t>Аналитическая записка «Анализ практики применения контрольно-счетными органами муниципальных образований Кодекса Российской Федерации об административных правонарушениях за 2019 год» принята решением Комиссии в рамках заочного заседания 30.11.2020 (протокол от 30.11.2020 № 4).</w:t>
      </w:r>
    </w:p>
    <w:p w:rsidR="006C2E85" w:rsidRPr="0088140D" w:rsidRDefault="006C2E85" w:rsidP="00EC233F">
      <w:pPr>
        <w:pStyle w:val="a0"/>
        <w:rPr>
          <w:u w:val="single"/>
        </w:rPr>
      </w:pPr>
    </w:p>
    <w:p w:rsidR="00EC233F" w:rsidRPr="0088140D" w:rsidRDefault="00EC233F" w:rsidP="00EC233F">
      <w:pPr>
        <w:pStyle w:val="a0"/>
        <w:rPr>
          <w:i/>
        </w:rPr>
      </w:pPr>
      <w:r w:rsidRPr="0088140D">
        <w:rPr>
          <w:u w:val="single"/>
        </w:rPr>
        <w:lastRenderedPageBreak/>
        <w:t>4. Оказание консультативной помощи контрольно-счетным органам муниципальных образований</w:t>
      </w:r>
      <w:r w:rsidRPr="0088140D">
        <w:t xml:space="preserve"> </w:t>
      </w:r>
      <w:r w:rsidRPr="0088140D">
        <w:rPr>
          <w:bCs/>
          <w:i/>
        </w:rPr>
        <w:t xml:space="preserve">(п.7.4.4 плана работы Совета, п.2.2.4 плана работы Комиссии, </w:t>
      </w:r>
      <w:r w:rsidRPr="0088140D">
        <w:rPr>
          <w:i/>
        </w:rPr>
        <w:t>срок исполнения – в течение года, отв. члены комиссии).</w:t>
      </w:r>
    </w:p>
    <w:p w:rsidR="00EC233F" w:rsidRPr="0088140D" w:rsidRDefault="00EC233F" w:rsidP="00EC233F">
      <w:pPr>
        <w:pStyle w:val="a0"/>
      </w:pPr>
      <w:r w:rsidRPr="0088140D">
        <w:t>В целях реализации мероприятий, предусмотренных планом работы на 2020 год, членами Комиссии, ответственными за сбор и обобщение информации  проводилась работа по консультированию контрольно-счетных органов субъектов РФ и</w:t>
      </w:r>
      <w:r w:rsidR="000440EB" w:rsidRPr="0088140D">
        <w:rPr>
          <w:lang w:val="en-US"/>
        </w:rPr>
        <w:t> </w:t>
      </w:r>
      <w:r w:rsidRPr="0088140D">
        <w:t>муниципальных образований.</w:t>
      </w:r>
    </w:p>
    <w:p w:rsidR="00EC233F" w:rsidRPr="0088140D" w:rsidRDefault="00EC233F" w:rsidP="00EC233F">
      <w:pPr>
        <w:pStyle w:val="a0"/>
      </w:pPr>
      <w:r w:rsidRPr="0088140D">
        <w:t>В рамках выполнения задач, направленных на совершенствование и повышение результативности работы контрольно-счетных органов муниципальных образований субъектов Российской Федерации, и с учетом проведенных мониторингов и анализов, в</w:t>
      </w:r>
      <w:r w:rsidR="000440EB" w:rsidRPr="0088140D">
        <w:rPr>
          <w:lang w:val="en-US"/>
        </w:rPr>
        <w:t> </w:t>
      </w:r>
      <w:r w:rsidRPr="0088140D">
        <w:t>2021 году Комиссия продолжит работу по сбору, обобщению и анализу информации о</w:t>
      </w:r>
      <w:r w:rsidR="000440EB" w:rsidRPr="0088140D">
        <w:rPr>
          <w:lang w:val="en-US"/>
        </w:rPr>
        <w:t> </w:t>
      </w:r>
      <w:r w:rsidRPr="0088140D">
        <w:t>деятельности контрольно-счетных органов, включая сведения об их создании, штатной и фактической численности.</w:t>
      </w:r>
    </w:p>
    <w:p w:rsidR="00EC233F" w:rsidRPr="00EC233F" w:rsidRDefault="00EC233F" w:rsidP="00EC233F">
      <w:pPr>
        <w:pStyle w:val="a0"/>
      </w:pPr>
      <w:r w:rsidRPr="0088140D">
        <w:t>Вместе с тем, практика деятельности Комиссии в 2020 году показала необходимость совершенствования способов сбора и обобщения информации о контрольно-счетных органах. В связи с чем, в совокупности с тенденцией внесения изменений в</w:t>
      </w:r>
      <w:r w:rsidR="000440EB" w:rsidRPr="0088140D">
        <w:rPr>
          <w:lang w:val="en-US"/>
        </w:rPr>
        <w:t> </w:t>
      </w:r>
      <w:r w:rsidRPr="0088140D">
        <w:t>законодательство РФ, в 2021 году планируется проведение работы по актуализации отчетных аналитических форм и правил их заполнения.</w:t>
      </w:r>
      <w:bookmarkStart w:id="3" w:name="_GoBack"/>
      <w:bookmarkEnd w:id="3"/>
    </w:p>
    <w:p w:rsidR="00EC233F" w:rsidRPr="00EC233F" w:rsidRDefault="00EC233F" w:rsidP="00EC233F">
      <w:pPr>
        <w:pStyle w:val="a0"/>
      </w:pPr>
    </w:p>
    <w:p w:rsidR="004D6ADF" w:rsidRDefault="004D6ADF" w:rsidP="004D6ADF">
      <w:pPr>
        <w:pStyle w:val="a0"/>
      </w:pPr>
    </w:p>
    <w:p w:rsidR="0082377D" w:rsidRPr="001618EC" w:rsidRDefault="0082377D" w:rsidP="004D6ADF">
      <w:pPr>
        <w:pStyle w:val="a0"/>
        <w:rPr>
          <w:lang w:eastAsia="ru-RU"/>
        </w:rPr>
      </w:pPr>
    </w:p>
    <w:p w:rsidR="0082377D" w:rsidRPr="009965F0" w:rsidRDefault="001142E9">
      <w:pPr>
        <w:rPr>
          <w:rFonts w:cs="TT Jenevers"/>
          <w:color w:val="04092A"/>
          <w:szCs w:val="24"/>
        </w:rPr>
      </w:pPr>
      <w:bookmarkStart w:id="4" w:name="_Toc40965152"/>
      <w:bookmarkStart w:id="5" w:name="_Toc40969366"/>
      <w:r>
        <w:br w:type="page"/>
      </w:r>
      <w:bookmarkEnd w:id="4"/>
      <w:bookmarkEnd w:id="5"/>
    </w:p>
    <w:p w:rsidR="0082377D" w:rsidRDefault="008054CA">
      <w:pPr>
        <w:rPr>
          <w:rFonts w:ascii="TT Jenevers" w:hAnsi="TT Jenevers" w:cs="TT Jenevers"/>
          <w:color w:val="000000"/>
          <w:sz w:val="24"/>
          <w:szCs w:val="24"/>
        </w:rPr>
      </w:pPr>
      <w:bookmarkStart w:id="6" w:name="_Toc40969377"/>
      <w:r>
        <w:rPr>
          <w:rFonts w:ascii="TT Jenevers" w:hAnsi="TT Jenevers"/>
          <w:noProof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-756667</wp:posOffset>
            </wp:positionH>
            <wp:positionV relativeFrom="paragraph">
              <wp:posOffset>-828040</wp:posOffset>
            </wp:positionV>
            <wp:extent cx="7612761" cy="10776650"/>
            <wp:effectExtent l="0" t="0" r="7620" b="0"/>
            <wp:wrapNone/>
            <wp:docPr id="13" name="Рисунок 13" descr="/Users/tortuga/Desktop/Georg/СП/SKSO Bbook/SKSO logo/SKSO docs/SKSO-cover-dark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tortuga/Desktop/Georg/СП/SKSO Bbook/SKSO logo/SKSO docs/SKSO-cover-darkblu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761" cy="107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6"/>
    </w:p>
    <w:p w:rsidR="00B26927" w:rsidRPr="00B26927" w:rsidRDefault="00B26927" w:rsidP="00B30BA8">
      <w:pPr>
        <w:ind w:left="708"/>
        <w:rPr>
          <w:rFonts w:ascii="TT Jenevers" w:hAnsi="TT Jenevers"/>
        </w:rPr>
      </w:pPr>
    </w:p>
    <w:sectPr w:rsidR="00B26927" w:rsidRPr="00B26927" w:rsidSect="00EC233F">
      <w:pgSz w:w="11906" w:h="16838"/>
      <w:pgMar w:top="1304" w:right="851" w:bottom="1276" w:left="1134" w:header="709" w:footer="68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D71" w:rsidRDefault="00916D71" w:rsidP="006A6B32">
      <w:pPr>
        <w:spacing w:after="0" w:line="240" w:lineRule="auto"/>
      </w:pPr>
      <w:r>
        <w:separator/>
      </w:r>
    </w:p>
  </w:endnote>
  <w:endnote w:type="continuationSeparator" w:id="0">
    <w:p w:rsidR="00916D71" w:rsidRDefault="00916D71" w:rsidP="006A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 Jenevers">
    <w:altName w:val="Sitka Small"/>
    <w:charset w:val="00"/>
    <w:family w:val="auto"/>
    <w:pitch w:val="variable"/>
    <w:sig w:usb0="00000001" w:usb1="5000004B" w:usb2="0000000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 Jenevers Light">
    <w:altName w:val="Sitka Small"/>
    <w:charset w:val="00"/>
    <w:family w:val="auto"/>
    <w:pitch w:val="variable"/>
    <w:sig w:usb0="00000001" w:usb1="5000004B" w:usb2="00000000" w:usb3="00000000" w:csb0="00000097" w:csb1="00000000"/>
  </w:font>
  <w:font w:name="PT_Russia Text">
    <w:altName w:val="Microsoft YaHei"/>
    <w:charset w:val="00"/>
    <w:family w:val="auto"/>
    <w:pitch w:val="variable"/>
    <w:sig w:usb0="00000001" w:usb1="1000006B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6E" w:rsidRPr="00461A43" w:rsidRDefault="00EC233F" w:rsidP="00EC233F">
    <w:pPr>
      <w:pStyle w:val="af4"/>
    </w:pPr>
    <w:r>
      <w:t xml:space="preserve">Отчет о работе Комиссии Совета контрольно-счетных органов при Счетной палате Российской Федерации по совершенствованию внешнего финансового контроля на муниципальном уровне за 2020 год </w:t>
    </w:r>
    <w:r w:rsidR="00916D71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64.95pt;margin-top:726.9pt;width:27.2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" filled="f" stroked="f">
          <v:textbox inset=",,0">
            <w:txbxContent>
              <w:p w:rsidR="00CF18A2" w:rsidRPr="00461A43" w:rsidRDefault="00D91EF6" w:rsidP="00CF18A2">
                <w:pPr>
                  <w:jc w:val="right"/>
                  <w:rPr>
                    <w:rFonts w:ascii="PT_Russia Text" w:hAnsi="PT_Russia Text"/>
                    <w:color w:val="8691AA"/>
                    <w:sz w:val="20"/>
                    <w:szCs w:val="20"/>
                  </w:rPr>
                </w:pPr>
                <w:r w:rsidRPr="00461A43">
                  <w:rPr>
                    <w:rFonts w:ascii="PT_Russia Text" w:hAnsi="PT_Russia Text"/>
                    <w:color w:val="8691AA"/>
                    <w:sz w:val="20"/>
                    <w:szCs w:val="20"/>
                  </w:rPr>
                  <w:fldChar w:fldCharType="begin"/>
                </w:r>
                <w:r w:rsidR="00CF18A2" w:rsidRPr="00461A43">
                  <w:rPr>
                    <w:rFonts w:ascii="PT_Russia Text" w:hAnsi="PT_Russia Text"/>
                    <w:color w:val="8691AA"/>
                    <w:sz w:val="20"/>
                    <w:szCs w:val="20"/>
                  </w:rPr>
                  <w:instrText xml:space="preserve"> PAGE   \* MERGEFORMAT </w:instrText>
                </w:r>
                <w:r w:rsidRPr="00461A43">
                  <w:rPr>
                    <w:rFonts w:ascii="PT_Russia Text" w:hAnsi="PT_Russia Text"/>
                    <w:color w:val="8691AA"/>
                    <w:sz w:val="20"/>
                    <w:szCs w:val="20"/>
                  </w:rPr>
                  <w:fldChar w:fldCharType="separate"/>
                </w:r>
                <w:r w:rsidR="0088140D">
                  <w:rPr>
                    <w:rFonts w:ascii="PT_Russia Text" w:hAnsi="PT_Russia Text"/>
                    <w:noProof/>
                    <w:color w:val="8691AA"/>
                    <w:sz w:val="20"/>
                    <w:szCs w:val="20"/>
                  </w:rPr>
                  <w:t>14</w:t>
                </w:r>
                <w:r w:rsidRPr="00461A43">
                  <w:rPr>
                    <w:rFonts w:ascii="PT_Russia Text" w:hAnsi="PT_Russia Text"/>
                    <w:color w:val="8691AA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D71" w:rsidRPr="000440EB" w:rsidRDefault="00916D71" w:rsidP="006A6B32">
      <w:pPr>
        <w:spacing w:after="0" w:line="240" w:lineRule="auto"/>
        <w:rPr>
          <w:color w:val="8691AA"/>
          <w:sz w:val="28"/>
          <w:szCs w:val="16"/>
        </w:rPr>
      </w:pPr>
    </w:p>
    <w:p w:rsidR="00916D71" w:rsidRPr="00C7711D" w:rsidRDefault="00916D71" w:rsidP="006A6B32">
      <w:pPr>
        <w:spacing w:after="0" w:line="240" w:lineRule="auto"/>
        <w:rPr>
          <w:color w:val="8691AA"/>
        </w:rPr>
      </w:pPr>
      <w:r w:rsidRPr="008A2AFF">
        <w:rPr>
          <w:color w:val="8691AA"/>
        </w:rPr>
        <w:continuationSeparator/>
      </w:r>
    </w:p>
  </w:footnote>
  <w:footnote w:type="continuationSeparator" w:id="0">
    <w:p w:rsidR="00916D71" w:rsidRPr="008A2AFF" w:rsidRDefault="00916D71" w:rsidP="006A6B32">
      <w:pPr>
        <w:spacing w:after="0" w:line="240" w:lineRule="auto"/>
        <w:rPr>
          <w:color w:val="8691AA"/>
        </w:rPr>
      </w:pPr>
      <w:r w:rsidRPr="008A2AFF">
        <w:rPr>
          <w:color w:val="8691AA"/>
        </w:rPr>
        <w:continuationSeparator/>
      </w:r>
    </w:p>
  </w:footnote>
  <w:footnote w:type="continuationNotice" w:id="1">
    <w:p w:rsidR="00916D71" w:rsidRDefault="00916D71">
      <w:pPr>
        <w:spacing w:after="0" w:line="240" w:lineRule="auto"/>
      </w:pPr>
    </w:p>
  </w:footnote>
  <w:footnote w:id="2">
    <w:p w:rsidR="00EC233F" w:rsidRPr="00F736A8" w:rsidRDefault="00EC233F" w:rsidP="00EC233F">
      <w:pPr>
        <w:pStyle w:val="af4"/>
      </w:pPr>
      <w:r w:rsidRPr="00F736A8">
        <w:rPr>
          <w:rFonts w:ascii="Times New Roman" w:hAnsi="Times New Roman"/>
        </w:rPr>
        <w:footnoteRef/>
      </w:r>
      <w:r w:rsidRPr="00F736A8">
        <w:t xml:space="preserve"> Решением Президиума Совета контрольно-счетных органов при Счетной палате Российской Федерации от 09.07.2020 № 11-ПКСО из состава Комиссии исключена Горячкина Н.В.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6C7"/>
    <w:multiLevelType w:val="hybridMultilevel"/>
    <w:tmpl w:val="674AEA7A"/>
    <w:lvl w:ilvl="0" w:tplc="0419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" w15:restartNumberingAfterBreak="0">
    <w:nsid w:val="046C5050"/>
    <w:multiLevelType w:val="hybridMultilevel"/>
    <w:tmpl w:val="CFB4C8D4"/>
    <w:lvl w:ilvl="0" w:tplc="0868F3AC">
      <w:start w:val="2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E269A1"/>
    <w:multiLevelType w:val="hybridMultilevel"/>
    <w:tmpl w:val="057A92D8"/>
    <w:lvl w:ilvl="0" w:tplc="4FA84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06C13E22"/>
    <w:multiLevelType w:val="hybridMultilevel"/>
    <w:tmpl w:val="ADC61356"/>
    <w:lvl w:ilvl="0" w:tplc="04190001">
      <w:start w:val="1"/>
      <w:numFmt w:val="bullet"/>
      <w:lvlText w:val=""/>
      <w:lvlJc w:val="left"/>
      <w:pPr>
        <w:ind w:left="2203" w:hanging="61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" w15:restartNumberingAfterBreak="0">
    <w:nsid w:val="07EC067E"/>
    <w:multiLevelType w:val="hybridMultilevel"/>
    <w:tmpl w:val="5FE6585A"/>
    <w:lvl w:ilvl="0" w:tplc="04190001">
      <w:start w:val="1"/>
      <w:numFmt w:val="bullet"/>
      <w:lvlText w:val=""/>
      <w:lvlJc w:val="left"/>
      <w:pPr>
        <w:ind w:left="1409" w:hanging="61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5" w15:restartNumberingAfterBreak="0">
    <w:nsid w:val="0F5A130A"/>
    <w:multiLevelType w:val="hybridMultilevel"/>
    <w:tmpl w:val="4814BF7C"/>
    <w:lvl w:ilvl="0" w:tplc="0419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 w15:restartNumberingAfterBreak="0">
    <w:nsid w:val="13C35C20"/>
    <w:multiLevelType w:val="hybridMultilevel"/>
    <w:tmpl w:val="167CE9BA"/>
    <w:lvl w:ilvl="0" w:tplc="0419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7" w15:restartNumberingAfterBreak="0">
    <w:nsid w:val="142504BB"/>
    <w:multiLevelType w:val="hybridMultilevel"/>
    <w:tmpl w:val="38080EC0"/>
    <w:lvl w:ilvl="0" w:tplc="B8BCBA72">
      <w:numFmt w:val="bullet"/>
      <w:lvlText w:val=""/>
      <w:lvlJc w:val="left"/>
      <w:pPr>
        <w:ind w:left="1409" w:hanging="615"/>
      </w:pPr>
      <w:rPr>
        <w:rFonts w:ascii="TT Jenevers" w:eastAsiaTheme="minorHAnsi" w:hAnsi="TT Jenevers" w:cs="TT Jenevers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" w15:restartNumberingAfterBreak="0">
    <w:nsid w:val="1FF7035E"/>
    <w:multiLevelType w:val="hybridMultilevel"/>
    <w:tmpl w:val="A96293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F9A5F16"/>
    <w:multiLevelType w:val="hybridMultilevel"/>
    <w:tmpl w:val="13F872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34FA8"/>
    <w:multiLevelType w:val="hybridMultilevel"/>
    <w:tmpl w:val="5846102A"/>
    <w:lvl w:ilvl="0" w:tplc="0419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1" w15:restartNumberingAfterBreak="0">
    <w:nsid w:val="314735EE"/>
    <w:multiLevelType w:val="hybridMultilevel"/>
    <w:tmpl w:val="DD826354"/>
    <w:lvl w:ilvl="0" w:tplc="F838464E">
      <w:start w:val="1"/>
      <w:numFmt w:val="bullet"/>
      <w:pStyle w:val="1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2" w15:restartNumberingAfterBreak="0">
    <w:nsid w:val="363851AE"/>
    <w:multiLevelType w:val="hybridMultilevel"/>
    <w:tmpl w:val="6D0AB38C"/>
    <w:lvl w:ilvl="0" w:tplc="43E647D8">
      <w:start w:val="1"/>
      <w:numFmt w:val="bullet"/>
      <w:lvlText w:val=""/>
      <w:lvlJc w:val="left"/>
      <w:pPr>
        <w:ind w:left="2203" w:hanging="61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3" w15:restartNumberingAfterBreak="0">
    <w:nsid w:val="38641C82"/>
    <w:multiLevelType w:val="hybridMultilevel"/>
    <w:tmpl w:val="CC90386E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4" w15:restartNumberingAfterBreak="0">
    <w:nsid w:val="3AAA4ABF"/>
    <w:multiLevelType w:val="hybridMultilevel"/>
    <w:tmpl w:val="863E78B0"/>
    <w:lvl w:ilvl="0" w:tplc="5C64F1BC">
      <w:start w:val="1"/>
      <w:numFmt w:val="bullet"/>
      <w:lvlText w:val=""/>
      <w:lvlJc w:val="left"/>
      <w:pPr>
        <w:ind w:left="1409" w:hanging="61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A4F4D"/>
    <w:multiLevelType w:val="hybridMultilevel"/>
    <w:tmpl w:val="0C5470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C03BC"/>
    <w:multiLevelType w:val="hybridMultilevel"/>
    <w:tmpl w:val="8E920E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F32FB"/>
    <w:multiLevelType w:val="hybridMultilevel"/>
    <w:tmpl w:val="2B105300"/>
    <w:lvl w:ilvl="0" w:tplc="43E647D8">
      <w:start w:val="1"/>
      <w:numFmt w:val="bullet"/>
      <w:lvlText w:val=""/>
      <w:lvlJc w:val="left"/>
      <w:pPr>
        <w:ind w:left="1409" w:hanging="61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8" w15:restartNumberingAfterBreak="0">
    <w:nsid w:val="531F0696"/>
    <w:multiLevelType w:val="hybridMultilevel"/>
    <w:tmpl w:val="1BFE4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8679A"/>
    <w:multiLevelType w:val="hybridMultilevel"/>
    <w:tmpl w:val="CFB4C8D4"/>
    <w:lvl w:ilvl="0" w:tplc="0868F3AC">
      <w:start w:val="2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6216784"/>
    <w:multiLevelType w:val="hybridMultilevel"/>
    <w:tmpl w:val="545CDC32"/>
    <w:lvl w:ilvl="0" w:tplc="2E5CC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A2837"/>
    <w:multiLevelType w:val="hybridMultilevel"/>
    <w:tmpl w:val="023E801E"/>
    <w:lvl w:ilvl="0" w:tplc="F9FE2F32">
      <w:start w:val="5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color w:val="auto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A5027"/>
    <w:multiLevelType w:val="hybridMultilevel"/>
    <w:tmpl w:val="3B801572"/>
    <w:lvl w:ilvl="0" w:tplc="1C8A27E0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3" w15:restartNumberingAfterBreak="0">
    <w:nsid w:val="60B83725"/>
    <w:multiLevelType w:val="hybridMultilevel"/>
    <w:tmpl w:val="FAF40A6C"/>
    <w:lvl w:ilvl="0" w:tplc="0F4E7DF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58865BC"/>
    <w:multiLevelType w:val="hybridMultilevel"/>
    <w:tmpl w:val="33EA02C0"/>
    <w:lvl w:ilvl="0" w:tplc="4FA84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723DB"/>
    <w:multiLevelType w:val="hybridMultilevel"/>
    <w:tmpl w:val="B4DAA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92B2F"/>
    <w:multiLevelType w:val="hybridMultilevel"/>
    <w:tmpl w:val="D7AA4766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7" w15:restartNumberingAfterBreak="0">
    <w:nsid w:val="6F47419C"/>
    <w:multiLevelType w:val="hybridMultilevel"/>
    <w:tmpl w:val="0F3EFC18"/>
    <w:lvl w:ilvl="0" w:tplc="8612EA82">
      <w:start w:val="1"/>
      <w:numFmt w:val="decimal"/>
      <w:lvlText w:val="%1."/>
      <w:lvlJc w:val="left"/>
      <w:pPr>
        <w:ind w:left="15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8" w15:restartNumberingAfterBreak="0">
    <w:nsid w:val="7E6B2701"/>
    <w:multiLevelType w:val="hybridMultilevel"/>
    <w:tmpl w:val="F98AB83E"/>
    <w:lvl w:ilvl="0" w:tplc="4FA84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24"/>
  </w:num>
  <w:num w:numId="4">
    <w:abstractNumId w:val="13"/>
  </w:num>
  <w:num w:numId="5">
    <w:abstractNumId w:val="7"/>
  </w:num>
  <w:num w:numId="6">
    <w:abstractNumId w:val="4"/>
  </w:num>
  <w:num w:numId="7">
    <w:abstractNumId w:val="17"/>
  </w:num>
  <w:num w:numId="8">
    <w:abstractNumId w:val="12"/>
  </w:num>
  <w:num w:numId="9">
    <w:abstractNumId w:val="3"/>
  </w:num>
  <w:num w:numId="10">
    <w:abstractNumId w:val="14"/>
  </w:num>
  <w:num w:numId="11">
    <w:abstractNumId w:val="9"/>
  </w:num>
  <w:num w:numId="12">
    <w:abstractNumId w:val="18"/>
  </w:num>
  <w:num w:numId="13">
    <w:abstractNumId w:val="25"/>
  </w:num>
  <w:num w:numId="14">
    <w:abstractNumId w:val="26"/>
  </w:num>
  <w:num w:numId="15">
    <w:abstractNumId w:val="11"/>
  </w:num>
  <w:num w:numId="16">
    <w:abstractNumId w:val="27"/>
  </w:num>
  <w:num w:numId="17">
    <w:abstractNumId w:val="23"/>
  </w:num>
  <w:num w:numId="18">
    <w:abstractNumId w:val="21"/>
  </w:num>
  <w:num w:numId="19">
    <w:abstractNumId w:val="8"/>
  </w:num>
  <w:num w:numId="20">
    <w:abstractNumId w:val="20"/>
  </w:num>
  <w:num w:numId="21">
    <w:abstractNumId w:val="15"/>
  </w:num>
  <w:num w:numId="22">
    <w:abstractNumId w:val="16"/>
  </w:num>
  <w:num w:numId="23">
    <w:abstractNumId w:val="6"/>
  </w:num>
  <w:num w:numId="24">
    <w:abstractNumId w:val="19"/>
  </w:num>
  <w:num w:numId="25">
    <w:abstractNumId w:val="22"/>
  </w:num>
  <w:num w:numId="26">
    <w:abstractNumId w:val="1"/>
  </w:num>
  <w:num w:numId="27">
    <w:abstractNumId w:val="10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lickAndTypeStyle w:val="ab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498"/>
    <w:rsid w:val="00004917"/>
    <w:rsid w:val="00037565"/>
    <w:rsid w:val="000440EB"/>
    <w:rsid w:val="00071267"/>
    <w:rsid w:val="000D7B02"/>
    <w:rsid w:val="000E0B12"/>
    <w:rsid w:val="000E2122"/>
    <w:rsid w:val="001142E9"/>
    <w:rsid w:val="00124F66"/>
    <w:rsid w:val="0016114B"/>
    <w:rsid w:val="001618EC"/>
    <w:rsid w:val="00171BC2"/>
    <w:rsid w:val="00190BCB"/>
    <w:rsid w:val="001C76D0"/>
    <w:rsid w:val="001C7D53"/>
    <w:rsid w:val="001D1B5F"/>
    <w:rsid w:val="00215D89"/>
    <w:rsid w:val="00251D92"/>
    <w:rsid w:val="00262683"/>
    <w:rsid w:val="0027313E"/>
    <w:rsid w:val="00273498"/>
    <w:rsid w:val="002827A8"/>
    <w:rsid w:val="00286B1D"/>
    <w:rsid w:val="002D60C7"/>
    <w:rsid w:val="002F7F50"/>
    <w:rsid w:val="00330A2D"/>
    <w:rsid w:val="0033444C"/>
    <w:rsid w:val="00356473"/>
    <w:rsid w:val="00393B98"/>
    <w:rsid w:val="003B00AA"/>
    <w:rsid w:val="003C5234"/>
    <w:rsid w:val="003C7046"/>
    <w:rsid w:val="003D5403"/>
    <w:rsid w:val="003F0F1B"/>
    <w:rsid w:val="00400332"/>
    <w:rsid w:val="00436BF4"/>
    <w:rsid w:val="00440D11"/>
    <w:rsid w:val="004451C3"/>
    <w:rsid w:val="004453D3"/>
    <w:rsid w:val="00461A43"/>
    <w:rsid w:val="0046736E"/>
    <w:rsid w:val="004D31D3"/>
    <w:rsid w:val="004D61E2"/>
    <w:rsid w:val="004D6ADF"/>
    <w:rsid w:val="00553391"/>
    <w:rsid w:val="00572ADA"/>
    <w:rsid w:val="00575486"/>
    <w:rsid w:val="005F0201"/>
    <w:rsid w:val="00600433"/>
    <w:rsid w:val="00614474"/>
    <w:rsid w:val="00692DEB"/>
    <w:rsid w:val="006A0597"/>
    <w:rsid w:val="006A0A83"/>
    <w:rsid w:val="006A6B32"/>
    <w:rsid w:val="006A7CD3"/>
    <w:rsid w:val="006B5F62"/>
    <w:rsid w:val="006C2E85"/>
    <w:rsid w:val="006F2190"/>
    <w:rsid w:val="006F3F10"/>
    <w:rsid w:val="00700DCD"/>
    <w:rsid w:val="00707711"/>
    <w:rsid w:val="00717BDA"/>
    <w:rsid w:val="00756097"/>
    <w:rsid w:val="00784D24"/>
    <w:rsid w:val="007D3E28"/>
    <w:rsid w:val="007F0735"/>
    <w:rsid w:val="007F16A9"/>
    <w:rsid w:val="00802706"/>
    <w:rsid w:val="008054CA"/>
    <w:rsid w:val="00806FC5"/>
    <w:rsid w:val="00816089"/>
    <w:rsid w:val="008200DE"/>
    <w:rsid w:val="0082377D"/>
    <w:rsid w:val="008331B6"/>
    <w:rsid w:val="00835252"/>
    <w:rsid w:val="0088140D"/>
    <w:rsid w:val="008A2AFF"/>
    <w:rsid w:val="008E43E3"/>
    <w:rsid w:val="00902E12"/>
    <w:rsid w:val="009156F2"/>
    <w:rsid w:val="00916D71"/>
    <w:rsid w:val="0092070C"/>
    <w:rsid w:val="009270BA"/>
    <w:rsid w:val="00951C49"/>
    <w:rsid w:val="009545E4"/>
    <w:rsid w:val="009965F0"/>
    <w:rsid w:val="009C2B89"/>
    <w:rsid w:val="009D3BAE"/>
    <w:rsid w:val="00A00802"/>
    <w:rsid w:val="00A17FBE"/>
    <w:rsid w:val="00A24F86"/>
    <w:rsid w:val="00A441B0"/>
    <w:rsid w:val="00A74BA8"/>
    <w:rsid w:val="00A85463"/>
    <w:rsid w:val="00AE02A2"/>
    <w:rsid w:val="00AE3650"/>
    <w:rsid w:val="00AE7D62"/>
    <w:rsid w:val="00AF4EB9"/>
    <w:rsid w:val="00B004B4"/>
    <w:rsid w:val="00B24F42"/>
    <w:rsid w:val="00B26927"/>
    <w:rsid w:val="00B30BA8"/>
    <w:rsid w:val="00B51119"/>
    <w:rsid w:val="00B56B9C"/>
    <w:rsid w:val="00B84812"/>
    <w:rsid w:val="00B97CF5"/>
    <w:rsid w:val="00BB2A62"/>
    <w:rsid w:val="00C14A5A"/>
    <w:rsid w:val="00C23561"/>
    <w:rsid w:val="00C23FCC"/>
    <w:rsid w:val="00C31445"/>
    <w:rsid w:val="00C47039"/>
    <w:rsid w:val="00C55BB0"/>
    <w:rsid w:val="00C75998"/>
    <w:rsid w:val="00C76C3C"/>
    <w:rsid w:val="00C7711D"/>
    <w:rsid w:val="00C93736"/>
    <w:rsid w:val="00CF18A2"/>
    <w:rsid w:val="00D02B7D"/>
    <w:rsid w:val="00D17787"/>
    <w:rsid w:val="00D17A95"/>
    <w:rsid w:val="00D4131B"/>
    <w:rsid w:val="00D6305B"/>
    <w:rsid w:val="00D91EF6"/>
    <w:rsid w:val="00DD4B2A"/>
    <w:rsid w:val="00E0045E"/>
    <w:rsid w:val="00E06EBF"/>
    <w:rsid w:val="00E13865"/>
    <w:rsid w:val="00E23DDA"/>
    <w:rsid w:val="00E401FA"/>
    <w:rsid w:val="00E43705"/>
    <w:rsid w:val="00E91C71"/>
    <w:rsid w:val="00E96DF4"/>
    <w:rsid w:val="00EC233F"/>
    <w:rsid w:val="00EE2669"/>
    <w:rsid w:val="00EF4065"/>
    <w:rsid w:val="00F369BD"/>
    <w:rsid w:val="00F4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72D91F3-1B9A-4597-B015-EA6B7424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ложка подзаголовок"/>
    <w:qFormat/>
    <w:rsid w:val="0082377D"/>
    <w:rPr>
      <w:rFonts w:ascii="Times New Roman" w:hAnsi="Times New Roman"/>
      <w:sz w:val="40"/>
    </w:rPr>
  </w:style>
  <w:style w:type="paragraph" w:styleId="1">
    <w:name w:val="heading 1"/>
    <w:aliases w:val="Список буллитами"/>
    <w:basedOn w:val="a0"/>
    <w:next w:val="a"/>
    <w:link w:val="10"/>
    <w:uiPriority w:val="9"/>
    <w:qFormat/>
    <w:rsid w:val="0082377D"/>
    <w:pPr>
      <w:numPr>
        <w:numId w:val="15"/>
      </w:numPr>
      <w:spacing w:before="0"/>
      <w:ind w:hanging="357"/>
      <w:outlineLvl w:val="0"/>
    </w:pPr>
  </w:style>
  <w:style w:type="paragraph" w:styleId="2">
    <w:name w:val="heading 2"/>
    <w:basedOn w:val="a1"/>
    <w:next w:val="a1"/>
    <w:link w:val="20"/>
    <w:uiPriority w:val="9"/>
    <w:unhideWhenUsed/>
    <w:qFormat/>
    <w:rsid w:val="0082377D"/>
    <w:pPr>
      <w:keepNext/>
      <w:keepLines/>
      <w:spacing w:before="240" w:line="240" w:lineRule="auto"/>
      <w:ind w:left="794"/>
      <w:outlineLvl w:val="1"/>
    </w:pPr>
    <w:rPr>
      <w:rFonts w:ascii="Times New Roman" w:eastAsiaTheme="majorEastAsia" w:hAnsi="Times New Roman" w:cs="Times New Roman"/>
      <w:bCs/>
      <w:color w:val="04092A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rsid w:val="00EC23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sid w:val="0070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700DCD"/>
    <w:rPr>
      <w:rFonts w:ascii="Tahoma" w:hAnsi="Tahoma" w:cs="Tahoma"/>
      <w:sz w:val="16"/>
      <w:szCs w:val="16"/>
    </w:rPr>
  </w:style>
  <w:style w:type="paragraph" w:customStyle="1" w:styleId="a7">
    <w:name w:val="Титул / Отчет (слово)"/>
    <w:basedOn w:val="a"/>
    <w:link w:val="a8"/>
    <w:uiPriority w:val="99"/>
    <w:rsid w:val="00C47039"/>
    <w:pPr>
      <w:suppressAutoHyphens/>
      <w:autoSpaceDE w:val="0"/>
      <w:autoSpaceDN w:val="0"/>
      <w:adjustRightInd w:val="0"/>
      <w:spacing w:after="170" w:line="340" w:lineRule="atLeast"/>
      <w:textAlignment w:val="center"/>
    </w:pPr>
    <w:rPr>
      <w:rFonts w:cs="TT Jenevers Light"/>
      <w:color w:val="FFFFFF"/>
      <w:sz w:val="96"/>
      <w:szCs w:val="96"/>
    </w:rPr>
  </w:style>
  <w:style w:type="paragraph" w:customStyle="1" w:styleId="a9">
    <w:name w:val="Титул / отчет название"/>
    <w:basedOn w:val="a"/>
    <w:link w:val="aa"/>
    <w:uiPriority w:val="99"/>
    <w:rsid w:val="00C47039"/>
    <w:pPr>
      <w:suppressAutoHyphens/>
      <w:autoSpaceDE w:val="0"/>
      <w:autoSpaceDN w:val="0"/>
      <w:adjustRightInd w:val="0"/>
      <w:spacing w:after="0" w:line="674" w:lineRule="atLeast"/>
      <w:textAlignment w:val="center"/>
    </w:pPr>
    <w:rPr>
      <w:rFonts w:cs="TT Jenevers Light"/>
      <w:color w:val="FFFFFF"/>
      <w:sz w:val="48"/>
      <w:szCs w:val="48"/>
    </w:rPr>
  </w:style>
  <w:style w:type="paragraph" w:customStyle="1" w:styleId="11">
    <w:name w:val="Заголовок1"/>
    <w:basedOn w:val="a1"/>
    <w:next w:val="a1"/>
    <w:link w:val="12"/>
    <w:qFormat/>
    <w:rsid w:val="0033444C"/>
    <w:pPr>
      <w:spacing w:line="240" w:lineRule="auto"/>
      <w:ind w:left="794"/>
    </w:pPr>
    <w:rPr>
      <w:rFonts w:ascii="Times New Roman" w:hAnsi="Times New Roman"/>
      <w:color w:val="04092A"/>
      <w:sz w:val="40"/>
    </w:rPr>
  </w:style>
  <w:style w:type="paragraph" w:customStyle="1" w:styleId="ab">
    <w:name w:val="обложка заголовок"/>
    <w:basedOn w:val="a1"/>
    <w:next w:val="a1"/>
    <w:link w:val="ac"/>
    <w:qFormat/>
    <w:rsid w:val="0082377D"/>
    <w:rPr>
      <w:rFonts w:ascii="Times New Roman" w:hAnsi="Times New Roman" w:cs="Times New Roman"/>
      <w:color w:val="04092A"/>
      <w:sz w:val="88"/>
      <w:szCs w:val="88"/>
    </w:rPr>
  </w:style>
  <w:style w:type="character" w:customStyle="1" w:styleId="a8">
    <w:name w:val="Титул / Отчет (слово) Знак"/>
    <w:basedOn w:val="a2"/>
    <w:link w:val="a7"/>
    <w:uiPriority w:val="99"/>
    <w:rsid w:val="00C47039"/>
    <w:rPr>
      <w:rFonts w:ascii="TT Jenevers Light" w:hAnsi="TT Jenevers Light" w:cs="TT Jenevers Light"/>
      <w:color w:val="FFFFFF"/>
      <w:sz w:val="96"/>
      <w:szCs w:val="96"/>
    </w:rPr>
  </w:style>
  <w:style w:type="character" w:customStyle="1" w:styleId="12">
    <w:name w:val="Заголовок1 Знак"/>
    <w:basedOn w:val="a8"/>
    <w:link w:val="11"/>
    <w:rsid w:val="0033444C"/>
    <w:rPr>
      <w:rFonts w:ascii="Times New Roman" w:hAnsi="Times New Roman" w:cs="TT Jenevers"/>
      <w:color w:val="04092A"/>
      <w:sz w:val="40"/>
      <w:szCs w:val="24"/>
    </w:rPr>
  </w:style>
  <w:style w:type="paragraph" w:customStyle="1" w:styleId="a1">
    <w:name w:val="[Без стиля]"/>
    <w:link w:val="ad"/>
    <w:rsid w:val="00C47039"/>
    <w:pPr>
      <w:autoSpaceDE w:val="0"/>
      <w:autoSpaceDN w:val="0"/>
      <w:adjustRightInd w:val="0"/>
      <w:spacing w:after="0" w:line="288" w:lineRule="auto"/>
      <w:textAlignment w:val="center"/>
    </w:pPr>
    <w:rPr>
      <w:rFonts w:ascii="TT Jenevers" w:hAnsi="TT Jenevers" w:cs="TT Jenevers"/>
      <w:color w:val="000000"/>
      <w:sz w:val="24"/>
      <w:szCs w:val="24"/>
    </w:rPr>
  </w:style>
  <w:style w:type="character" w:customStyle="1" w:styleId="aa">
    <w:name w:val="Титул / отчет название Знак"/>
    <w:basedOn w:val="a2"/>
    <w:link w:val="a9"/>
    <w:uiPriority w:val="99"/>
    <w:rsid w:val="00C47039"/>
    <w:rPr>
      <w:rFonts w:ascii="TT Jenevers Light" w:hAnsi="TT Jenevers Light" w:cs="TT Jenevers Light"/>
      <w:color w:val="FFFFFF"/>
      <w:sz w:val="48"/>
      <w:szCs w:val="48"/>
    </w:rPr>
  </w:style>
  <w:style w:type="character" w:customStyle="1" w:styleId="ac">
    <w:name w:val="обложка заголовок Знак"/>
    <w:basedOn w:val="aa"/>
    <w:link w:val="ab"/>
    <w:rsid w:val="0082377D"/>
    <w:rPr>
      <w:rFonts w:ascii="Times New Roman" w:hAnsi="Times New Roman" w:cs="Times New Roman"/>
      <w:color w:val="04092A"/>
      <w:sz w:val="88"/>
      <w:szCs w:val="88"/>
    </w:rPr>
  </w:style>
  <w:style w:type="paragraph" w:styleId="ae">
    <w:name w:val="header"/>
    <w:basedOn w:val="a"/>
    <w:link w:val="af"/>
    <w:uiPriority w:val="99"/>
    <w:unhideWhenUsed/>
    <w:rsid w:val="006A6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6A6B32"/>
  </w:style>
  <w:style w:type="paragraph" w:styleId="af0">
    <w:name w:val="footer"/>
    <w:basedOn w:val="a"/>
    <w:link w:val="af1"/>
    <w:uiPriority w:val="99"/>
    <w:unhideWhenUsed/>
    <w:rsid w:val="006A6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6A6B32"/>
  </w:style>
  <w:style w:type="paragraph" w:customStyle="1" w:styleId="af2">
    <w:name w:val="Колонтитул название отчета"/>
    <w:basedOn w:val="a"/>
    <w:link w:val="af3"/>
    <w:uiPriority w:val="99"/>
    <w:rsid w:val="006A6B32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PT_Russia Text" w:hAnsi="PT_Russia Text" w:cs="PT_Russia Text"/>
      <w:color w:val="8691AA"/>
      <w:spacing w:val="1"/>
      <w:sz w:val="16"/>
      <w:szCs w:val="16"/>
    </w:rPr>
  </w:style>
  <w:style w:type="paragraph" w:customStyle="1" w:styleId="af4">
    <w:name w:val="колонтитул текст"/>
    <w:basedOn w:val="af2"/>
    <w:link w:val="af5"/>
    <w:qFormat/>
    <w:rsid w:val="0046736E"/>
    <w:rPr>
      <w:rFonts w:ascii="Arial" w:hAnsi="Arial"/>
      <w:noProof/>
      <w:spacing w:val="0"/>
      <w:sz w:val="13"/>
      <w:szCs w:val="13"/>
      <w:lang w:eastAsia="ru-RU"/>
    </w:rPr>
  </w:style>
  <w:style w:type="paragraph" w:customStyle="1" w:styleId="af6">
    <w:name w:val="автор"/>
    <w:basedOn w:val="a1"/>
    <w:uiPriority w:val="99"/>
    <w:rsid w:val="00436BF4"/>
    <w:pPr>
      <w:keepNext/>
      <w:keepLines/>
      <w:suppressAutoHyphens/>
      <w:spacing w:line="280" w:lineRule="atLeast"/>
    </w:pPr>
    <w:rPr>
      <w:rFonts w:ascii="PT_Russia Text" w:hAnsi="PT_Russia Text" w:cs="PT_Russia Text"/>
      <w:sz w:val="20"/>
      <w:szCs w:val="20"/>
    </w:rPr>
  </w:style>
  <w:style w:type="character" w:customStyle="1" w:styleId="af3">
    <w:name w:val="Колонтитул название отчета Знак"/>
    <w:basedOn w:val="a2"/>
    <w:link w:val="af2"/>
    <w:uiPriority w:val="99"/>
    <w:rsid w:val="00330A2D"/>
    <w:rPr>
      <w:rFonts w:ascii="PT_Russia Text" w:hAnsi="PT_Russia Text" w:cs="PT_Russia Text"/>
      <w:color w:val="8691AA"/>
      <w:spacing w:val="1"/>
      <w:sz w:val="16"/>
      <w:szCs w:val="16"/>
    </w:rPr>
  </w:style>
  <w:style w:type="character" w:customStyle="1" w:styleId="af5">
    <w:name w:val="колонтитул текст Знак"/>
    <w:basedOn w:val="af3"/>
    <w:link w:val="af4"/>
    <w:rsid w:val="0046736E"/>
    <w:rPr>
      <w:rFonts w:ascii="Arial" w:hAnsi="Arial" w:cs="PT_Russia Text"/>
      <w:noProof/>
      <w:color w:val="8691AA"/>
      <w:spacing w:val="1"/>
      <w:sz w:val="13"/>
      <w:szCs w:val="13"/>
      <w:lang w:eastAsia="ru-RU"/>
    </w:rPr>
  </w:style>
  <w:style w:type="paragraph" w:styleId="af7">
    <w:name w:val="List Paragraph"/>
    <w:basedOn w:val="a"/>
    <w:uiPriority w:val="34"/>
    <w:qFormat/>
    <w:rsid w:val="00E91C71"/>
    <w:pPr>
      <w:ind w:left="720"/>
      <w:contextualSpacing/>
    </w:pPr>
  </w:style>
  <w:style w:type="paragraph" w:customStyle="1" w:styleId="af8">
    <w:name w:val="подпись к фото"/>
    <w:basedOn w:val="a1"/>
    <w:link w:val="af9"/>
    <w:uiPriority w:val="99"/>
    <w:rsid w:val="00E91C71"/>
    <w:pPr>
      <w:keepNext/>
      <w:keepLines/>
      <w:suppressAutoHyphens/>
      <w:spacing w:after="113"/>
    </w:pPr>
    <w:rPr>
      <w:rFonts w:ascii="PT_Russia Text" w:hAnsi="PT_Russia Text" w:cs="PT_Russia Text"/>
      <w:color w:val="8691AA"/>
      <w:sz w:val="16"/>
      <w:szCs w:val="16"/>
    </w:rPr>
  </w:style>
  <w:style w:type="paragraph" w:customStyle="1" w:styleId="afa">
    <w:name w:val="Таблицы / Шапка"/>
    <w:basedOn w:val="a1"/>
    <w:uiPriority w:val="99"/>
    <w:rsid w:val="00E91C71"/>
    <w:pPr>
      <w:suppressAutoHyphens/>
      <w:spacing w:line="240" w:lineRule="atLeast"/>
      <w:jc w:val="center"/>
    </w:pPr>
    <w:rPr>
      <w:rFonts w:ascii="PT_Russia Text" w:hAnsi="PT_Russia Text" w:cs="PT_Russia Text"/>
      <w:sz w:val="18"/>
      <w:szCs w:val="18"/>
    </w:rPr>
  </w:style>
  <w:style w:type="table" w:styleId="afb">
    <w:name w:val="Table Grid"/>
    <w:basedOn w:val="a3"/>
    <w:uiPriority w:val="59"/>
    <w:rsid w:val="00124F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c">
    <w:name w:val="footnote text"/>
    <w:basedOn w:val="a"/>
    <w:link w:val="afd"/>
    <w:uiPriority w:val="99"/>
    <w:semiHidden/>
    <w:unhideWhenUsed/>
    <w:rsid w:val="007F16A9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2"/>
    <w:link w:val="afc"/>
    <w:uiPriority w:val="99"/>
    <w:semiHidden/>
    <w:rsid w:val="007F16A9"/>
    <w:rPr>
      <w:sz w:val="20"/>
      <w:szCs w:val="20"/>
    </w:rPr>
  </w:style>
  <w:style w:type="character" w:styleId="afe">
    <w:name w:val="footnote reference"/>
    <w:basedOn w:val="a2"/>
    <w:uiPriority w:val="99"/>
    <w:semiHidden/>
    <w:unhideWhenUsed/>
    <w:rsid w:val="007F16A9"/>
    <w:rPr>
      <w:vertAlign w:val="superscript"/>
    </w:rPr>
  </w:style>
  <w:style w:type="paragraph" w:customStyle="1" w:styleId="C">
    <w:name w:val="Cноска"/>
    <w:basedOn w:val="a1"/>
    <w:uiPriority w:val="99"/>
    <w:rsid w:val="004D61E2"/>
    <w:pPr>
      <w:keepLines/>
      <w:tabs>
        <w:tab w:val="left" w:pos="0"/>
      </w:tabs>
      <w:suppressAutoHyphens/>
      <w:spacing w:before="180" w:line="240" w:lineRule="atLeast"/>
      <w:contextualSpacing/>
    </w:pPr>
    <w:rPr>
      <w:rFonts w:ascii="PT_Russia Text" w:hAnsi="PT_Russia Text" w:cs="PT_Russia Text"/>
      <w:color w:val="8691AA"/>
      <w:sz w:val="16"/>
      <w:szCs w:val="16"/>
    </w:rPr>
  </w:style>
  <w:style w:type="paragraph" w:customStyle="1" w:styleId="aff">
    <w:name w:val="заголовок таблицы"/>
    <w:basedOn w:val="af8"/>
    <w:link w:val="aff0"/>
    <w:qFormat/>
    <w:rsid w:val="00AE3650"/>
    <w:pPr>
      <w:spacing w:before="360" w:after="60"/>
    </w:pPr>
    <w:rPr>
      <w:sz w:val="22"/>
      <w:szCs w:val="22"/>
    </w:rPr>
  </w:style>
  <w:style w:type="character" w:customStyle="1" w:styleId="20">
    <w:name w:val="Заголовок 2 Знак"/>
    <w:basedOn w:val="a2"/>
    <w:link w:val="2"/>
    <w:uiPriority w:val="9"/>
    <w:rsid w:val="0082377D"/>
    <w:rPr>
      <w:rFonts w:ascii="Times New Roman" w:eastAsiaTheme="majorEastAsia" w:hAnsi="Times New Roman" w:cs="Times New Roman"/>
      <w:bCs/>
      <w:color w:val="04092A"/>
      <w:sz w:val="36"/>
      <w:szCs w:val="36"/>
    </w:rPr>
  </w:style>
  <w:style w:type="character" w:customStyle="1" w:styleId="ad">
    <w:name w:val="[Без стиля] Знак"/>
    <w:basedOn w:val="a2"/>
    <w:link w:val="a1"/>
    <w:rsid w:val="00784D24"/>
    <w:rPr>
      <w:rFonts w:ascii="TT Jenevers" w:hAnsi="TT Jenevers" w:cs="TT Jenevers"/>
      <w:color w:val="000000"/>
      <w:sz w:val="24"/>
      <w:szCs w:val="24"/>
    </w:rPr>
  </w:style>
  <w:style w:type="character" w:customStyle="1" w:styleId="af9">
    <w:name w:val="подпись к фото Знак"/>
    <w:basedOn w:val="ad"/>
    <w:link w:val="af8"/>
    <w:uiPriority w:val="99"/>
    <w:rsid w:val="00784D24"/>
    <w:rPr>
      <w:rFonts w:ascii="PT_Russia Text" w:hAnsi="PT_Russia Text" w:cs="PT_Russia Text"/>
      <w:color w:val="8691AA"/>
      <w:sz w:val="16"/>
      <w:szCs w:val="16"/>
    </w:rPr>
  </w:style>
  <w:style w:type="character" w:customStyle="1" w:styleId="aff0">
    <w:name w:val="заголовок таблицы Знак"/>
    <w:basedOn w:val="af9"/>
    <w:link w:val="aff"/>
    <w:rsid w:val="00784D24"/>
    <w:rPr>
      <w:rFonts w:ascii="PT_Russia Text" w:hAnsi="PT_Russia Text" w:cs="PT_Russia Text"/>
      <w:color w:val="8691AA"/>
      <w:sz w:val="16"/>
      <w:szCs w:val="16"/>
    </w:rPr>
  </w:style>
  <w:style w:type="paragraph" w:customStyle="1" w:styleId="a0">
    <w:name w:val="текст"/>
    <w:basedOn w:val="a"/>
    <w:link w:val="aff1"/>
    <w:qFormat/>
    <w:rsid w:val="0082377D"/>
    <w:pPr>
      <w:widowControl w:val="0"/>
      <w:autoSpaceDE w:val="0"/>
      <w:autoSpaceDN w:val="0"/>
      <w:adjustRightInd w:val="0"/>
      <w:spacing w:before="240" w:after="0" w:line="360" w:lineRule="auto"/>
      <w:ind w:left="794"/>
    </w:pPr>
    <w:rPr>
      <w:rFonts w:cs="Times New Roman"/>
      <w:color w:val="000000"/>
      <w:sz w:val="24"/>
      <w:szCs w:val="24"/>
    </w:rPr>
  </w:style>
  <w:style w:type="character" w:customStyle="1" w:styleId="10">
    <w:name w:val="Заголовок 1 Знак"/>
    <w:aliases w:val="Список буллитами Знак"/>
    <w:basedOn w:val="a2"/>
    <w:link w:val="1"/>
    <w:uiPriority w:val="9"/>
    <w:rsid w:val="0082377D"/>
    <w:rPr>
      <w:rFonts w:ascii="Times New Roman" w:hAnsi="Times New Roman" w:cs="Times New Roman"/>
      <w:color w:val="000000"/>
      <w:sz w:val="24"/>
      <w:szCs w:val="24"/>
    </w:rPr>
  </w:style>
  <w:style w:type="character" w:customStyle="1" w:styleId="aff1">
    <w:name w:val="текст Знак"/>
    <w:basedOn w:val="a2"/>
    <w:link w:val="a0"/>
    <w:rsid w:val="0082377D"/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аголовок3"/>
    <w:basedOn w:val="a1"/>
    <w:next w:val="a1"/>
    <w:link w:val="32"/>
    <w:qFormat/>
    <w:rsid w:val="005F0201"/>
    <w:pPr>
      <w:spacing w:before="240"/>
      <w:ind w:left="794"/>
    </w:pPr>
    <w:rPr>
      <w:color w:val="3347F2"/>
      <w:sz w:val="28"/>
      <w:szCs w:val="28"/>
    </w:rPr>
  </w:style>
  <w:style w:type="character" w:customStyle="1" w:styleId="32">
    <w:name w:val="Заголовок3 Знак"/>
    <w:basedOn w:val="20"/>
    <w:link w:val="31"/>
    <w:rsid w:val="005F0201"/>
    <w:rPr>
      <w:rFonts w:ascii="TT Jenevers" w:eastAsiaTheme="majorEastAsia" w:hAnsi="TT Jenevers" w:cs="TT Jenevers"/>
      <w:bCs/>
      <w:color w:val="3347F2"/>
      <w:sz w:val="28"/>
      <w:szCs w:val="28"/>
    </w:rPr>
  </w:style>
  <w:style w:type="paragraph" w:styleId="aff2">
    <w:name w:val="TOC Heading"/>
    <w:basedOn w:val="11"/>
    <w:next w:val="a"/>
    <w:uiPriority w:val="39"/>
    <w:unhideWhenUsed/>
    <w:qFormat/>
    <w:rsid w:val="0082377D"/>
    <w:pPr>
      <w:jc w:val="center"/>
    </w:pPr>
    <w:rPr>
      <w:rFonts w:cs="Times New Roman"/>
      <w:sz w:val="44"/>
      <w:szCs w:val="44"/>
    </w:rPr>
  </w:style>
  <w:style w:type="paragraph" w:styleId="21">
    <w:name w:val="toc 2"/>
    <w:basedOn w:val="a"/>
    <w:next w:val="a"/>
    <w:autoRedefine/>
    <w:uiPriority w:val="39"/>
    <w:unhideWhenUsed/>
    <w:rsid w:val="008200DE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character" w:styleId="aff3">
    <w:name w:val="Hyperlink"/>
    <w:basedOn w:val="a2"/>
    <w:uiPriority w:val="99"/>
    <w:unhideWhenUsed/>
    <w:rsid w:val="008200DE"/>
    <w:rPr>
      <w:color w:val="0000FF" w:themeColor="hyperlink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8200DE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8200DE"/>
    <w:pPr>
      <w:spacing w:after="0"/>
      <w:ind w:left="40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8200DE"/>
    <w:pPr>
      <w:spacing w:after="0"/>
      <w:ind w:left="80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8200DE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8200DE"/>
    <w:pPr>
      <w:spacing w:after="0"/>
      <w:ind w:left="16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8200DE"/>
    <w:pPr>
      <w:spacing w:after="0"/>
      <w:ind w:left="20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8200DE"/>
    <w:pPr>
      <w:spacing w:after="0"/>
      <w:ind w:left="240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8200DE"/>
    <w:pPr>
      <w:spacing w:after="0"/>
      <w:ind w:left="2800"/>
    </w:pPr>
    <w:rPr>
      <w:rFonts w:asciiTheme="minorHAnsi" w:hAnsiTheme="minorHAnsi"/>
      <w:sz w:val="20"/>
      <w:szCs w:val="20"/>
    </w:rPr>
  </w:style>
  <w:style w:type="paragraph" w:styleId="aff4">
    <w:name w:val="Title"/>
    <w:aliases w:val="Шапка таблицы"/>
    <w:basedOn w:val="a1"/>
    <w:next w:val="a"/>
    <w:link w:val="aff5"/>
    <w:uiPriority w:val="10"/>
    <w:qFormat/>
    <w:rsid w:val="00EE2669"/>
    <w:pPr>
      <w:jc w:val="center"/>
    </w:pPr>
    <w:rPr>
      <w:rFonts w:ascii="PT_Russia Text" w:hAnsi="PT_Russia Text"/>
      <w:sz w:val="28"/>
      <w:szCs w:val="28"/>
    </w:rPr>
  </w:style>
  <w:style w:type="character" w:customStyle="1" w:styleId="aff5">
    <w:name w:val="Заголовок Знак"/>
    <w:aliases w:val="Шапка таблицы Знак"/>
    <w:basedOn w:val="a2"/>
    <w:link w:val="aff4"/>
    <w:uiPriority w:val="10"/>
    <w:rsid w:val="00EE2669"/>
    <w:rPr>
      <w:rFonts w:ascii="PT_Russia Text" w:hAnsi="PT_Russia Text" w:cs="TT Jenevers"/>
      <w:color w:val="000000"/>
      <w:sz w:val="28"/>
      <w:szCs w:val="28"/>
    </w:rPr>
  </w:style>
  <w:style w:type="paragraph" w:styleId="aff6">
    <w:name w:val="No Spacing"/>
    <w:aliases w:val="Сожержание табдлицы"/>
    <w:basedOn w:val="a1"/>
    <w:uiPriority w:val="1"/>
    <w:qFormat/>
    <w:rsid w:val="00EE2669"/>
    <w:pPr>
      <w:widowControl w:val="0"/>
      <w:spacing w:before="4" w:line="240" w:lineRule="auto"/>
      <w:ind w:right="-20"/>
      <w:jc w:val="center"/>
    </w:pPr>
    <w:rPr>
      <w:rFonts w:ascii="PT_Russia Text" w:hAnsi="PT_Russia Text" w:cs="Calibri"/>
    </w:rPr>
  </w:style>
  <w:style w:type="character" w:styleId="aff7">
    <w:name w:val="page number"/>
    <w:basedOn w:val="a2"/>
    <w:uiPriority w:val="99"/>
    <w:semiHidden/>
    <w:unhideWhenUsed/>
    <w:rsid w:val="0082377D"/>
  </w:style>
  <w:style w:type="character" w:styleId="aff8">
    <w:name w:val="FollowedHyperlink"/>
    <w:basedOn w:val="a2"/>
    <w:uiPriority w:val="99"/>
    <w:semiHidden/>
    <w:unhideWhenUsed/>
    <w:rsid w:val="0082377D"/>
    <w:rPr>
      <w:color w:val="800080" w:themeColor="followedHyperlink"/>
      <w:u w:val="single"/>
    </w:rPr>
  </w:style>
  <w:style w:type="paragraph" w:customStyle="1" w:styleId="aff9">
    <w:name w:val="Вынос"/>
    <w:basedOn w:val="31"/>
    <w:qFormat/>
    <w:rsid w:val="00D4131B"/>
    <w:pPr>
      <w:spacing w:before="360" w:after="360" w:line="240" w:lineRule="auto"/>
      <w:ind w:left="1560"/>
    </w:pPr>
    <w:rPr>
      <w:rFonts w:ascii="Times New Roman" w:hAnsi="Times New Roman" w:cs="Times New Roman"/>
      <w:i/>
      <w:color w:val="000000" w:themeColor="text1"/>
      <w:sz w:val="24"/>
      <w:szCs w:val="24"/>
    </w:rPr>
  </w:style>
  <w:style w:type="paragraph" w:customStyle="1" w:styleId="affa">
    <w:name w:val="Оглавление"/>
    <w:basedOn w:val="13"/>
    <w:qFormat/>
    <w:rsid w:val="001142E9"/>
    <w:pPr>
      <w:tabs>
        <w:tab w:val="right" w:pos="9911"/>
      </w:tabs>
    </w:pPr>
    <w:rPr>
      <w:rFonts w:ascii="Times New Roman" w:hAnsi="Times New Roman" w:cs="Times New Roman"/>
      <w:b w:val="0"/>
      <w:noProof/>
    </w:rPr>
  </w:style>
  <w:style w:type="paragraph" w:styleId="affb">
    <w:name w:val="Body Text"/>
    <w:basedOn w:val="a"/>
    <w:link w:val="affc"/>
    <w:rsid w:val="00A85463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ffc">
    <w:name w:val="Основной текст Знак"/>
    <w:basedOn w:val="a2"/>
    <w:link w:val="affb"/>
    <w:rsid w:val="00A8546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854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semiHidden/>
    <w:rsid w:val="00EC23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2;&#1050;&#1057;%2009.07.20%20&#1055;&#1088;&#1077;&#1079;&#1080;&#1076;&#1080;&#1091;&#1084;\&#1057;&#1050;&#1057;&#1054;%20&#1096;&#1072;&#1073;&#1083;&#1086;&#1085;%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FCAD7-ED7B-41AA-8331-C39ADBE8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СКСО шаблон </Template>
  <TotalTime>72</TotalTime>
  <Pages>14</Pages>
  <Words>3360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Буренок Е.В.</cp:lastModifiedBy>
  <cp:revision>7</cp:revision>
  <dcterms:created xsi:type="dcterms:W3CDTF">2020-11-24T07:26:00Z</dcterms:created>
  <dcterms:modified xsi:type="dcterms:W3CDTF">2021-11-09T13:01:00Z</dcterms:modified>
</cp:coreProperties>
</file>