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firstLine="284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Результаты анализа исполнения и контроля за организацией исполнения местного бюджета (бюджета муниципального образования город Краснодар) по итогам 9 месяцев 2024 года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24 октября по 13 ноября 2024</w:t>
      </w:r>
      <w:r>
        <w:rPr>
          <w:color w:val="auto"/>
          <w:sz w:val="28"/>
          <w:szCs w:val="28"/>
        </w:rPr>
        <w:t xml:space="preserve"> года Контрольно-счётной палатой муниципального образования город Краснодар проведено экспертно-аналитическое мероприятие - анализ исполнения и контроль за организацией исполнения местного бюджета (бюджета муниципального образования город Краснодар) по ито</w:t>
      </w:r>
      <w:r>
        <w:rPr>
          <w:color w:val="auto"/>
          <w:sz w:val="28"/>
          <w:szCs w:val="28"/>
        </w:rPr>
        <w:t xml:space="preserve">гам 9 месяцев 2024 года.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вышеуказанного обследования составлено соответствующее заключение, направленное в городскую Думу Краснодара и администрацию МО город К</w:t>
      </w:r>
      <w:r>
        <w:rPr>
          <w:color w:val="auto"/>
          <w:sz w:val="28"/>
          <w:szCs w:val="28"/>
        </w:rPr>
        <w:t xml:space="preserve">раснодар.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Проведённый анализ в числе прочего выявил следующее: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14:ligatures w14:val="none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tabs>
          <w:tab w:val="left" w:pos="0" w:leader="none"/>
          <w:tab w:val="left" w:pos="993" w:leader="none"/>
        </w:tabs>
        <w:rPr>
          <w:color w:val="auto"/>
          <w:sz w:val="28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Исполнение </w:t>
      </w:r>
      <w:r>
        <w:rPr>
          <w:color w:val="auto"/>
          <w:sz w:val="28"/>
          <w:szCs w:val="28"/>
        </w:rPr>
        <w:t xml:space="preserve">по доходам составило 63 861 057,4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рублей (73,3% от уточненного плана и 93,1% от первоначального)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в том числе: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- по налоговым доходам 22 830 311,6 тыс. рублей (73,2% и 84,4% соответственно);</w:t>
      </w:r>
      <w:r>
        <w:rPr>
          <w:color w:val="auto"/>
          <w:sz w:val="28"/>
          <w:szCs w:val="28"/>
        </w:rPr>
      </w:r>
      <w:r>
        <w:rPr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- по неналоговым доходам 2 557 041,1 тыс. рублей (93,2% и 117,1% соответственно);</w:t>
      </w:r>
      <w:r>
        <w:rPr>
          <w:color w:val="auto"/>
          <w:sz w:val="28"/>
          <w:szCs w:val="28"/>
        </w:rPr>
      </w:r>
      <w:r>
        <w:rPr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- по безвозмездным поступлениям 38 473 704,7 тыс. рублей (72,4% и 97,8% соответственно).</w:t>
      </w:r>
      <w:r>
        <w:rPr>
          <w:color w:val="auto"/>
          <w:sz w:val="28"/>
          <w:szCs w:val="28"/>
        </w:rPr>
      </w:r>
      <w:r>
        <w:rPr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Кассовый</w:t>
      </w:r>
      <w:r>
        <w:rPr>
          <w:color w:val="auto"/>
          <w:sz w:val="28"/>
          <w:szCs w:val="28"/>
        </w:rPr>
        <w:t xml:space="preserve"> план на 9 месяцев по налоговым и неналоговым доходам выполнен на 124,0% (+</w:t>
      </w:r>
      <w:r>
        <w:rPr>
          <w:color w:val="auto"/>
          <w:sz w:val="28"/>
          <w:szCs w:val="28"/>
        </w:rPr>
        <w:t xml:space="preserve">4 920 394,2 </w:t>
      </w:r>
      <w:r>
        <w:rPr>
          <w:color w:val="auto"/>
          <w:sz w:val="28"/>
          <w:szCs w:val="28"/>
        </w:rPr>
        <w:t xml:space="preserve">тыс. рублей). По данным ГАДБ и Департамента финансов объем сверхплановых ожидаемых поступлений находится в диапазоне 2,6% - 2,7% от годового плана по указанным доходам (+872 482,1 тыс. рублей и +916 838,9 тыс. рублей соответственно).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В сравнении с аналогичным периодом прошлого года объем доходов в совокупности увеличился на 37,6% (+17 449 262,0 тыс. рублей) за счет роста поступлений по: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- безвозмездным поступлениям на 41,1% (+11 201 945,5 тыс. рублей);</w:t>
      </w:r>
      <w:r>
        <w:rPr>
          <w:color w:val="auto"/>
          <w:sz w:val="28"/>
          <w:szCs w:val="28"/>
        </w:rPr>
      </w:r>
      <w:r>
        <w:rPr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4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- налоговым доходам на 34,1% (+5 809 906,9 тыс. рублей);</w:t>
      </w:r>
      <w:r>
        <w:rPr>
          <w:color w:val="auto"/>
          <w:sz w:val="28"/>
          <w:szCs w:val="28"/>
        </w:rPr>
      </w:r>
      <w:r>
        <w:rPr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4"/>
          <w14:ligatures w14:val="none"/>
        </w:rPr>
      </w:pPr>
      <w:r>
        <w:rPr>
          <w:color w:val="auto"/>
          <w:sz w:val="28"/>
          <w:szCs w:val="28"/>
        </w:rPr>
        <w:t xml:space="preserve">- неналоговым доходам на 20,6% (+437 409,6 тыс. рублей).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4"/>
          <w14:ligatures w14:val="none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tabs>
          <w:tab w:val="left" w:pos="0" w:leader="none"/>
          <w:tab w:val="left" w:pos="993" w:leader="none"/>
        </w:tabs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</w:rPr>
        <w:t xml:space="preserve">налоговым </w:t>
      </w:r>
      <w:r>
        <w:rPr>
          <w:rFonts w:ascii="Times New Roman" w:hAnsi="Times New Roman"/>
          <w:sz w:val="28"/>
          <w:szCs w:val="28"/>
          <w:highlight w:val="white"/>
        </w:rPr>
        <w:t xml:space="preserve">доходам исполнение составило 73,2% от плана на год и 121,5% от кассового плана.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  <w14:ligatures w14:val="none"/>
        </w:rPr>
      </w:pPr>
      <w:r>
        <w:rPr>
          <w:color w:val="auto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Основной объем налоговых доходов (89,6%) сформирован за счет 4 источников: НДФЛ (45,6% от общего объема), УСН (28,8%), налога на прибыль (8,4%), земельного налога (6,8%).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Кассовый план по налоговым доходам в целом перевыпо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лнен на                          4 032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711,6 тыс. рублей, в том числе за счет УСН - на 1 529 546,4 тыс. рублей, НДФЛ - на 1 418 418,4 тыс. рублей, земельного налога - на 489 922,7 тыс. рублей, налога на имущество физических лиц - на 343 555,4 тыс. рублей. </w:t>
      </w:r>
      <w:r>
        <w:rPr>
          <w:rFonts w:ascii="Times New Roman" w:hAnsi="Times New Roman"/>
          <w:sz w:val="28"/>
          <w:szCs w:val="28"/>
        </w:rPr>
        <w:t xml:space="preserve">При отсутствии установленных плановых назначений поступления по ЕНВД составили 3 316,3 тыс. 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 данным, представленным Департаментом финансов, имеется вероятность перевыполнения годовых бюджетных назначений по налоговым доходам на сумму 234 682,1 тыс. рублей, по данным</w:t>
      </w:r>
      <w:r>
        <w:rPr>
          <w:rFonts w:ascii="Times New Roman" w:hAnsi="Times New Roman" w:eastAsia="Times New Roman"/>
          <w:sz w:val="24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УФНС КК - 236 308,1 тыс. рублей.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shd w:val="clear" w:color="auto" w:fill="ffffff" w:themeFill="background1"/>
        </w:rPr>
        <w:t xml:space="preserve">При этом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результаты проведенного Контрольно-счетной палатой анализа свидетельствуют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о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наличии оснований для увеличения плановых значений по налоговым доходам на сумму не мен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ее 1 924 000,0 тыс. рублей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(по 8 источникам)</w:t>
      </w:r>
      <w:r/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highlight w:val="white"/>
          <w14:ligatures w14:val="none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tabs>
          <w:tab w:val="left" w:pos="0" w:leader="none"/>
          <w:tab w:val="left" w:pos="993" w:leader="none"/>
        </w:tabs>
        <w:rPr>
          <w:color w:val="auto"/>
          <w:sz w:val="28"/>
          <w:szCs w:val="28"/>
          <w:highlight w:val="none"/>
          <w14:ligatures w14:val="none"/>
        </w:rPr>
      </w:pPr>
      <w:r>
        <w:rPr>
          <w:color w:val="auto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color w:val="auto"/>
          <w:sz w:val="28"/>
          <w:szCs w:val="28"/>
        </w:rPr>
        <w:t xml:space="preserve">неналоговым </w:t>
      </w:r>
      <w:r>
        <w:rPr>
          <w:rFonts w:ascii="Times New Roman" w:hAnsi="Times New Roman"/>
          <w:sz w:val="28"/>
          <w:szCs w:val="28"/>
          <w:highlight w:val="white"/>
        </w:rPr>
        <w:t xml:space="preserve">доходам поступило </w:t>
      </w:r>
      <w:r>
        <w:rPr>
          <w:rFonts w:ascii="Times New Roman" w:hAnsi="Times New Roman"/>
          <w:sz w:val="28"/>
          <w:szCs w:val="28"/>
        </w:rPr>
        <w:t xml:space="preserve">93,2% от годовых плановых назначений и 153,2% от кассового плана. 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/>
          <w:sz w:val="28"/>
          <w:szCs w:val="28"/>
        </w:rPr>
        <w:t xml:space="preserve">Основной объем доходов (93,4%) сформирован за счет 6 источников:  </w:t>
      </w:r>
      <w:r>
        <w:rPr>
          <w:rFonts w:ascii="Times New Roman" w:hAnsi="Times New Roman" w:eastAsiaTheme="minorEastAsia"/>
          <w:sz w:val="28"/>
          <w:szCs w:val="28"/>
        </w:rPr>
        <w:t xml:space="preserve">арендной платы за земельные участки (24,6%</w:t>
      </w:r>
      <w:r>
        <w:rPr>
          <w:rFonts w:ascii="Times New Roman" w:hAnsi="Times New Roman" w:eastAsia="Times New Roman"/>
          <w:sz w:val="28"/>
          <w:szCs w:val="28"/>
        </w:rPr>
        <w:t xml:space="preserve"> от общего объема</w:t>
      </w:r>
      <w:r>
        <w:rPr>
          <w:rFonts w:ascii="Times New Roman" w:hAnsi="Times New Roman" w:eastAsiaTheme="minorEastAsia"/>
          <w:sz w:val="28"/>
          <w:szCs w:val="28"/>
        </w:rPr>
        <w:t xml:space="preserve">), доходов от: платных услуг (24%), штрафов (16,1%), продажи активов (15,8%),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eastAsiaTheme="minorEastAsia"/>
          <w:sz w:val="28"/>
          <w:szCs w:val="28"/>
        </w:rPr>
        <w:t xml:space="preserve">парковок (7,8%), прочих доходов от использования имущества и прав (5,1%).</w:t>
      </w:r>
      <w:r>
        <w:rPr>
          <w:color w:val="auto"/>
          <w:sz w:val="28"/>
          <w:szCs w:val="28"/>
          <w:highlight w:val="none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Кассовый план по неналоговым доходам перевыполнен на 887 682,6 тыс. рублей, том числе за счет доходов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от платных услуг - на 442 413,2 тыс. 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продажи активов - на 246 854,2 тыс. 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штрафов - на 51 920,3 тыс. рублей, доходов от парковок - на 51 489,2 тыс. рублей.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  <w:t xml:space="preserve">По данным, представленным ГАДБ, ожидается перевыполнение годового плана по неналоговым доходам на сумму 636 174,0 тыс. рублей, по данным</w:t>
      </w:r>
      <w:r>
        <w:rPr>
          <w:rFonts w:ascii="Times New Roman" w:hAnsi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Департаментом финансов - 682 156,8 тыс. рублей.</w:t>
      </w:r>
      <w:r>
        <w:rPr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При этом </w:t>
      </w:r>
      <w:r>
        <w:rPr>
          <w:rFonts w:ascii="Times New Roman" w:hAnsi="Times New Roman" w:eastAsia="Times New Roman"/>
          <w:sz w:val="28"/>
          <w:szCs w:val="28"/>
        </w:rPr>
        <w:t xml:space="preserve">результаты проведенного Контрольно-счетной палатой анализа свидетельствуют </w:t>
      </w:r>
      <w:r>
        <w:rPr>
          <w:rFonts w:ascii="Times New Roman" w:hAnsi="Times New Roman" w:eastAsia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/>
          <w:sz w:val="28"/>
          <w:szCs w:val="28"/>
        </w:rPr>
        <w:t xml:space="preserve">наличии оснований для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 увеличения плановых значений по неналоговым доходам на сумму не мен</w:t>
      </w:r>
      <w:r>
        <w:rPr>
          <w:rFonts w:ascii="Times New Roman" w:hAnsi="Times New Roman" w:eastAsia="Times New Roman"/>
          <w:sz w:val="28"/>
          <w:szCs w:val="28"/>
        </w:rPr>
        <w:t xml:space="preserve">ее </w:t>
      </w:r>
      <w:r>
        <w:rPr>
          <w:rFonts w:ascii="Times New Roman" w:hAnsi="Times New Roman" w:eastAsia="Times New Roman"/>
          <w:sz w:val="28"/>
          <w:szCs w:val="28"/>
        </w:rPr>
        <w:t xml:space="preserve">710 500,0 </w:t>
      </w:r>
      <w:r>
        <w:rPr>
          <w:rFonts w:ascii="Times New Roman" w:hAnsi="Times New Roman" w:eastAsia="Times New Roman"/>
          <w:sz w:val="28"/>
          <w:szCs w:val="28"/>
        </w:rPr>
        <w:t xml:space="preserve">тыс. рублей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  <w:shd w:val="clear" w:color="auto" w:fill="ffffff" w:themeFill="background1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(по 10 источникам)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 уменьшения плановых назначений по ним </w:t>
      </w:r>
      <w:r>
        <w:rPr>
          <w:rFonts w:ascii="Times New Roman" w:hAnsi="Times New Roman" w:eastAsia="Times New Roman"/>
          <w:sz w:val="28"/>
          <w:szCs w:val="28"/>
        </w:rPr>
        <w:t xml:space="preserve">на сумму не мен</w:t>
      </w:r>
      <w:r>
        <w:rPr>
          <w:rFonts w:ascii="Times New Roman" w:hAnsi="Times New Roman" w:eastAsia="Times New Roman"/>
          <w:sz w:val="28"/>
          <w:szCs w:val="28"/>
        </w:rPr>
        <w:t xml:space="preserve">ее </w:t>
      </w:r>
      <w:r>
        <w:rPr>
          <w:rFonts w:ascii="Times New Roman" w:hAnsi="Times New Roman" w:eastAsia="Times New Roman"/>
          <w:sz w:val="28"/>
          <w:szCs w:val="28"/>
        </w:rPr>
        <w:t xml:space="preserve">11 000,0 </w:t>
      </w:r>
      <w:r>
        <w:rPr>
          <w:rFonts w:ascii="Times New Roman" w:hAnsi="Times New Roman" w:eastAsia="Times New Roman"/>
          <w:sz w:val="28"/>
          <w:szCs w:val="28"/>
        </w:rPr>
        <w:t xml:space="preserve">тыс. рублей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(по 2 источникам)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Calibri"/>
          <w:sz w:val="28"/>
          <w:szCs w:val="28"/>
        </w:rPr>
        <w:t xml:space="preserve">Исполнение расходов местного бюджета составило 62 359 134,3 тыс. рублей </w:t>
      </w:r>
      <w:r>
        <w:rPr>
          <w:rFonts w:ascii="Times New Roman" w:hAnsi="Times New Roman" w:eastAsia="Calibri"/>
          <w:sz w:val="28"/>
          <w:szCs w:val="28"/>
        </w:rPr>
        <w:t xml:space="preserve">или 67,6% от плана (в том числе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за счет средств межбюджетных трансфертов - в сумме 37 811 961,5 тыс. рублей (71,4% от плана), местного бюджета - 24 547 172,8 тыс. рублей (62,6%)).</w:t>
      </w:r>
      <w:r>
        <w:rPr>
          <w:rFonts w:ascii="Times New Roman" w:hAnsi="Times New Roman" w:eastAsia="Times New Roman"/>
          <w:sz w:val="28"/>
          <w:szCs w:val="28"/>
          <w14:ligatures w14:val="none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ascii="Times New Roman" w:hAnsi="Times New Roman" w:eastAsia="Calibri"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</w:rPr>
        <w:t xml:space="preserve">Расходы на реализацию муниципальных программ </w:t>
      </w:r>
      <w:r>
        <w:rPr>
          <w:rFonts w:ascii="Times New Roman" w:hAnsi="Times New Roman" w:eastAsia="Calibri"/>
          <w:sz w:val="28"/>
          <w:szCs w:val="28"/>
        </w:rPr>
        <w:t xml:space="preserve">(далее - Программы) </w:t>
      </w:r>
      <w:r>
        <w:rPr>
          <w:rFonts w:ascii="Times New Roman" w:hAnsi="Times New Roman" w:eastAsia="Calibri"/>
          <w:sz w:val="28"/>
          <w:szCs w:val="28"/>
        </w:rPr>
        <w:t xml:space="preserve">исполнены в сумме 60 539 689,3 тыс. рублей (97,1% от общего объема расходов бюджета) или 68,2% от плана. </w:t>
      </w:r>
      <w:r>
        <w:rPr>
          <w:rFonts w:ascii="Times New Roman" w:hAnsi="Times New Roman" w:eastAsia="Calibri"/>
          <w:sz w:val="28"/>
          <w:szCs w:val="28"/>
        </w:rPr>
        <w:t xml:space="preserve">Расходы на непрограммные направления деятельности исполнены в сумме </w:t>
      </w:r>
      <w:r>
        <w:rPr>
          <w:rFonts w:ascii="Times New Roman" w:hAnsi="Times New Roman" w:eastAsia="Times New Roman"/>
          <w:sz w:val="28"/>
          <w:szCs w:val="28"/>
        </w:rPr>
        <w:t xml:space="preserve">1 819 444,8 тыс. рублей (53,5% от плана).</w:t>
      </w:r>
      <w:r>
        <w:rPr>
          <w:rFonts w:ascii="Times New Roman" w:hAnsi="Times New Roman" w:eastAsia="Calibri"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eastAsia="Calibri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В </w:t>
      </w:r>
      <w:r>
        <w:rPr>
          <w:rFonts w:ascii="Times New Roman" w:hAnsi="Times New Roman" w:eastAsia="Calibri"/>
          <w:sz w:val="28"/>
          <w:szCs w:val="28"/>
        </w:rPr>
        <w:t xml:space="preserve">МО город Краснодар </w:t>
      </w:r>
      <w:r>
        <w:rPr>
          <w:rFonts w:ascii="Times New Roman" w:hAnsi="Times New Roman" w:eastAsia="Calibri"/>
          <w:sz w:val="28"/>
          <w:szCs w:val="28"/>
        </w:rPr>
        <w:t xml:space="preserve">осуществляются</w:t>
      </w:r>
      <w:r>
        <w:rPr>
          <w:rFonts w:ascii="Times New Roman" w:hAnsi="Times New Roman" w:eastAsia="Calibri"/>
          <w:sz w:val="28"/>
          <w:szCs w:val="28"/>
        </w:rPr>
        <w:t xml:space="preserve"> мероприятия, направленные на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реализацию </w:t>
      </w:r>
      <w:r>
        <w:rPr>
          <w:rFonts w:ascii="Times New Roman" w:hAnsi="Times New Roman" w:eastAsia="Calibri"/>
          <w:sz w:val="28"/>
          <w:szCs w:val="28"/>
        </w:rPr>
        <w:t xml:space="preserve">5 Национальных проектов (11 Региональных проектов), разработанных в соответствии с Указами Президента РФ </w:t>
      </w:r>
      <w:r>
        <w:rPr>
          <w:rFonts w:ascii="Times New Roman" w:hAnsi="Times New Roman" w:eastAsia="Calibri"/>
          <w:sz w:val="28"/>
          <w:szCs w:val="28"/>
        </w:rPr>
        <w:t xml:space="preserve">№ 204, № 309. Расходование средств производится 6 ГРБС </w:t>
      </w:r>
      <w:r>
        <w:rPr>
          <w:rFonts w:ascii="Times New Roman" w:hAnsi="Times New Roman" w:eastAsia="Calibri"/>
          <w:sz w:val="28"/>
          <w:szCs w:val="28"/>
        </w:rPr>
        <w:t xml:space="preserve">по 7 муниципальным программам.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Решением о местном бюджете на финансовое обеспечение мероприятий, направленных на достижение целей Национальных проектов, </w:t>
      </w:r>
      <w:r>
        <w:rPr>
          <w:rFonts w:ascii="Times New Roman" w:hAnsi="Times New Roman" w:eastAsia="Calibri"/>
          <w:sz w:val="28"/>
          <w:szCs w:val="28"/>
        </w:rPr>
        <w:t xml:space="preserve">предусмотрены </w:t>
      </w:r>
      <w:r>
        <w:rPr>
          <w:rFonts w:ascii="Times New Roman" w:hAnsi="Times New Roman" w:eastAsia="Calibri"/>
          <w:sz w:val="28"/>
          <w:szCs w:val="28"/>
        </w:rPr>
        <w:t xml:space="preserve">ассигнования в общей сумме 17 258 018,5 тыс. рублей (</w:t>
      </w:r>
      <w:r>
        <w:rPr>
          <w:rFonts w:ascii="Times New Roman" w:hAnsi="Times New Roman" w:eastAsia="Calibri"/>
          <w:sz w:val="28"/>
          <w:szCs w:val="28"/>
        </w:rPr>
        <w:t xml:space="preserve">в том числе средства федерального бюджета - 8 550 986,7 тыс. рублей, бюджета Краснодарского края - 7 162 953,6 тыс. рублей, </w:t>
      </w:r>
      <w:r>
        <w:rPr>
          <w:rFonts w:ascii="Times New Roman" w:hAnsi="Times New Roman" w:eastAsia="Calibri"/>
          <w:sz w:val="28"/>
          <w:szCs w:val="28"/>
        </w:rPr>
        <w:t xml:space="preserve">Фонда развития территорий - </w:t>
      </w:r>
      <w:r>
        <w:rPr>
          <w:rFonts w:ascii="Times New Roman" w:hAnsi="Times New Roman" w:eastAsia="Calibri"/>
          <w:sz w:val="28"/>
          <w:szCs w:val="28"/>
        </w:rPr>
        <w:t xml:space="preserve">62 801,1 тыс. рублей, местного бюджета - 1 481 277,1 тыс. </w:t>
      </w:r>
      <w:r>
        <w:rPr>
          <w:rFonts w:ascii="Times New Roman" w:hAnsi="Times New Roman" w:eastAsia="Calibri"/>
          <w:sz w:val="28"/>
          <w:szCs w:val="28"/>
        </w:rPr>
        <w:t xml:space="preserve">рублей). </w:t>
      </w:r>
      <w:r>
        <w:rPr>
          <w:rFonts w:ascii="Times New Roman" w:hAnsi="Times New Roman" w:eastAsia="Calibri"/>
          <w:sz w:val="28"/>
          <w:szCs w:val="28"/>
        </w:rPr>
        <w:t xml:space="preserve">Исполнение расходов составило 13 551 862,9 тыс. рублей (78,5% от плана).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  <w:highlight w:val="none"/>
          <w14:ligatures w14:val="none"/>
        </w:rPr>
      </w:r>
    </w:p>
    <w:p>
      <w:pPr>
        <w:numPr>
          <w:ilvl w:val="0"/>
          <w:numId w:val="21"/>
        </w:numPr>
        <w:contextualSpacing/>
        <w:ind w:left="0"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eastAsia="Calibri"/>
          <w:sz w:val="28"/>
          <w:szCs w:val="28"/>
          <w14:ligatures w14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И</w:t>
      </w:r>
      <w:r>
        <w:rPr>
          <w:rFonts w:ascii="Times New Roman" w:hAnsi="Times New Roman" w:eastAsia="Calibri"/>
          <w:sz w:val="28"/>
          <w:szCs w:val="28"/>
        </w:rPr>
        <w:t xml:space="preserve">сполнение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расходов </w:t>
      </w:r>
      <w:r>
        <w:rPr>
          <w:rFonts w:ascii="Times New Roman" w:hAnsi="Times New Roman" w:eastAsia="Calibri"/>
          <w:sz w:val="28"/>
          <w:szCs w:val="28"/>
        </w:rPr>
        <w:t xml:space="preserve">по Программам составило 60 539 689,3 тыс. рублей (68,2% от плана).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 w:eastAsiaTheme="minorHAnsi"/>
          <w:bCs/>
          <w:sz w:val="28"/>
          <w:szCs w:val="28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6.1. В нарушение Порядка разработки муниципальных программ: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 w:eastAsiaTheme="minorHAnsi"/>
          <w:bCs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4"/>
          <w:szCs w:val="24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/>
          <w:sz w:val="28"/>
          <w:szCs w:val="28"/>
        </w:rPr>
        <w:t xml:space="preserve">в нарушение п.24 Порядка разработки муниципальных программ ДГХ и ТЭК (координатор) не представлены отчеты о реализации 3 Программ </w:t>
      </w:r>
      <w:r>
        <w:rPr>
          <w:rFonts w:ascii="Times New Roman" w:hAnsi="Times New Roman" w:eastAsia="Calibri"/>
          <w:sz w:val="28"/>
          <w:szCs w:val="28"/>
        </w:rPr>
        <w:t xml:space="preserve">(«Комплексное развитие в сфере ЖКХ», «Энергосбережение», «Формирование современной городской среды»);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14:ligatures w14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- по Программе «Развитие образования» занижено значение целевого </w:t>
      </w:r>
      <w:r>
        <w:rPr>
          <w:rFonts w:ascii="Times New Roman" w:hAnsi="Times New Roman" w:eastAsia="Calibri"/>
          <w:sz w:val="28"/>
          <w:szCs w:val="28"/>
        </w:rPr>
        <w:t xml:space="preserve">показателя «Количество мест в муниципальных общеобразовательных организациях, необходимых для исключения </w:t>
      </w:r>
      <w:r>
        <w:rPr>
          <w:rFonts w:ascii="Times New Roman" w:hAnsi="Times New Roman" w:eastAsia="Calibri"/>
          <w:sz w:val="28"/>
          <w:szCs w:val="28"/>
        </w:rPr>
        <w:t xml:space="preserve">переуплотнённости</w:t>
      </w:r>
      <w:r>
        <w:rPr>
          <w:rFonts w:ascii="Times New Roman" w:hAnsi="Times New Roman" w:eastAsia="Calibri"/>
          <w:sz w:val="28"/>
          <w:szCs w:val="28"/>
        </w:rPr>
        <w:t xml:space="preserve"> классов при организации процесса обучения в две смены». П</w:t>
      </w:r>
      <w:r>
        <w:rPr>
          <w:rFonts w:ascii="Times New Roman" w:hAnsi="Times New Roman" w:eastAsia="Calibri"/>
          <w:sz w:val="28"/>
          <w:szCs w:val="28"/>
        </w:rPr>
        <w:t xml:space="preserve">лановое значение показателя (4 942 места) рассчитано как среднее значение по всем школам, без учета </w:t>
      </w:r>
      <w:r>
        <w:rPr>
          <w:rFonts w:ascii="Times New Roman" w:hAnsi="Times New Roman" w:eastAsia="Calibri"/>
          <w:sz w:val="28"/>
          <w:szCs w:val="28"/>
        </w:rPr>
        <w:t xml:space="preserve">переукомплектнованности</w:t>
      </w:r>
      <w:r>
        <w:rPr>
          <w:rFonts w:ascii="Times New Roman" w:hAnsi="Times New Roman" w:eastAsia="Calibri"/>
          <w:sz w:val="28"/>
          <w:szCs w:val="28"/>
        </w:rPr>
        <w:t xml:space="preserve"> (</w:t>
      </w:r>
      <w:r>
        <w:rPr>
          <w:rFonts w:ascii="Times New Roman" w:hAnsi="Times New Roman" w:eastAsia="Calibri"/>
          <w:sz w:val="28"/>
          <w:szCs w:val="28"/>
        </w:rPr>
        <w:t xml:space="preserve">недоукомплектованности</w:t>
      </w:r>
      <w:r>
        <w:rPr>
          <w:rFonts w:ascii="Times New Roman" w:hAnsi="Times New Roman" w:eastAsia="Calibri"/>
          <w:sz w:val="28"/>
          <w:szCs w:val="28"/>
        </w:rPr>
        <w:t xml:space="preserve">) каждой школы отдельно. При расчете </w:t>
      </w:r>
      <w:r>
        <w:rPr>
          <w:rFonts w:ascii="Times New Roman" w:hAnsi="Times New Roman" w:eastAsia="Calibri"/>
          <w:sz w:val="28"/>
          <w:szCs w:val="28"/>
        </w:rPr>
        <w:t xml:space="preserve">суммы мест только по переукомплектованным школам значение показателя составит не менее 21 000 мест;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4"/>
          <w:szCs w:val="24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 Программе «Реализация молодежной политики» значения целевых показателей не меняю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тся в течение II и III этапов реализации Программы (2021 - 2026 годы), что указывает на недостаточный планируемый уровень вовлеченности молодежи в общественную деятельность и реализации их потенциала в условиях активного роста численности населения города;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 w:eastAsiaTheme="minorHAnsi"/>
          <w:sz w:val="24"/>
          <w:szCs w:val="24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по Программе «Развитие туризма» не представлены данные о фактическом исполнении отдельных целевых показателей;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отчёты Координаторов 6 Программ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«Развитие образования», «Комплексные меры профилактики наркомании», «Доступная среда», «Обеспечение защиты населения», «Социальная поддержка граждан», «Развитие туризма», «Развитие гражданского общества»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содержат недостоверные данные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части сведений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об объемах финансирования, ЛБО, кассовом исполнении.</w:t>
      </w:r>
      <w:r>
        <w:rPr>
          <w:rFonts w:ascii="Times New Roman" w:hAnsi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6.2.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Программе «Развитие образования»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(координатор - Департамент образования):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риски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неосвоения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средств местного бюджета составляют 382 256,3</w:t>
      </w:r>
      <w:r>
        <w:rPr>
          <w:rFonts w:ascii="Times New Roman" w:hAnsi="Times New Roman" w:eastAsia="Calibri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тыс. рублей, в том числе: предусмотренных на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оснащение новой сети - 301 695,4 тыс. рублей, на проведение капитального ремонта - 80 560,9 тыс. рублей;</w:t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необеспеченная потребность образовательных учреждений на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первоочередные расходы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средства местного бюджета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 составляет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провизорно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95 907,8 тыс. рублей.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/>
          <w:sz w:val="28"/>
          <w:szCs w:val="28"/>
          <w:highlight w:val="none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6.3. По Программе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Комплексное развитие в сфере ЖКХ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(координатор 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ДГХ и ТЭК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избыточно предусмотрены бюджетные ассигнования (средства местного бюджета) на общую сумму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297 222,7 тыс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рублей, в том числе: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r>
      <w:r>
        <w:rPr>
          <w:rFonts w:ascii="Times New Roman" w:hAnsi="Times New Roman" w:eastAsia="Calibri"/>
          <w:b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субсидии МУП ВКХ «Водоканал» на оплату процентов по договору займа (в целях строительства 2-й очереди главного канализационного коллектора № 20) - 246 289,4 тыс. рублей;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мероприятия, связанные с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осуществлением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деятельности по обращению с животными без владельцев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(на выполнение государственных полномочий Краснодарского края)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- 11 235,0 тыс. рублей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(средства местного бюджета)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 w:eastAsiaTheme="minorHAns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color w:val="000000" w:themeColor="text1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приобретение и модернизация оборудования и предметов длительного пользования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размере 22 212,0 тыс. рублей;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закупка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ликвидац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ии мест несанкционированного размещения ТКО на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территории МО город Краснодар в размере 10 311,0 тыс. рублей;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строительство приюта для животных без владельцев - 7 175,3 тыс. рублей (невостребованные ассигнования).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уществуют риски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неосвоения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(несвоевременного освоения) бюджетных ассигнований в сумме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провизорно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10 000,0 тыс. рублей по мероприятиям, связанным с 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одержанием, ремонтом помещений, находящихся в муниципальной собственности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i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6.4. По Программе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Комплексное развитие в сфере строительства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(координатор 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Департамент строительства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):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i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нарушение п.3 ст. 139 БК РФ между администрацией Краснодарского края и администрацией МО город Краснодар не заключено соглашение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 предоставлении субсидии по мероприятию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Строительство событийной площадки по ул. Обрывной, 137», в связи с чем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имеется риск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сокращения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утвержденных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плановых назначений за счет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средств бюджета Краснодарского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края в сумме 253 620,0 тыс. рублей и необходимости выделения дополнительных средств местного бюджета для оплаты принятых обязательств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Cs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10 объектам социальной сферы, завершение реализации которых предусмотрено в 2024 году, установлены риски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неосвоения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бюджетных ассигнований, невыполнения условий предоставления межбюджетных трансфертов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том числе графика выполнения работ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недостижения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результатов использования субсидий и целевых показателей муниципальной программы;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2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объектам социальной сферы, завершение реализации которых предусмотрено в 2025 году, до настоящего времени не приняты бюджетные обязательства на проведение СМР;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по мероприятию «Обеспечение сетями э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лектроснабжения, водоснабжения земельных участков …, предоставленных гражданам, имеющим трёх и более детей, в пос. Пригородном» изготовление проектной документации не завершено, контракт на выполнение СМР не заключен. Не приняты бюджетные обязательства на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выполнение работ по технологическому присоединению объекта к сетям водоснабжения объекта (в части 2024 года - 250 907,9 тыс. рублей).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i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6.5. По Программе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Развитие транспортной системы»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(координатор - Департамент транспорта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имеются признаки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невостребованности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ассигнований в сумме 116 483,1 тыс. рублей (средства местного бюджета) по объектам:</w:t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  <w:r>
        <w:rPr>
          <w:rFonts w:ascii="Times New Roman" w:hAnsi="Times New Roman" w:eastAsia="Calibri"/>
          <w:i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 w:eastAsiaTheme="minorHAnsi" w:cstheme="minorBid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Строительство автомобильной дороги к спортивному комплексу Дворец «Самбо» - 9 440,2 тыс. рублей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экономия по факту выполненных работ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 w:eastAsiaTheme="minorHAnsi" w:cstheme="minorBid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Строительство подземного пешеходного перехода через ул. Красных Партизан в районе комплекса МУЗ ГБ №2 «КМЛДО» - 71 649,7 тыс. рублей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бюджетные обязательства не приняты, закупочные процедуры не начаты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 w:eastAsiaTheme="minorHAnsi" w:cstheme="minorBid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Строительство надземного пешеходного перехода через железную дорогу в районе ж/д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Пашковская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- 35 393,2 тыс. рублей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бюджетные обязательства не приняты, закупочные процедуры не начаты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 w:eastAsiaTheme="minorHAnsi" w:cstheme="minorBid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3 мероприятиям, реализуемым МКУ «ЦМДДТ» за счет средств местного бюджета, имеются 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иски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неосвоения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бюджетных средств на общую сумму 188 550,8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тыс. рублей (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том числе в результате нарушения сроков выполнения работ, в том числе по причине необходимости внесения изменений в проектную документацию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).</w:t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  <w:r>
        <w:rPr>
          <w:rFonts w:ascii="Times New Roman" w:hAnsi="Times New Roman" w:eastAsia="Calibri" w:eastAsiaTheme="minorHAns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7.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данным Журналов учета и регистрации исполнительных документов в Департамент финансов поступил на исполнение 331 исполнительный лист на общую сумму 258 698,6 тыс. рублей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Cs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Расходы местного бюджета на исполнение судебных решений (с учетом поступивших на начало года) составили 270 843,3 тыс. рублей, не оплачены поступившие исполнительные документы на общую сумму 47 986,1 тыс. рублей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неисполненным документам на 01.10.2024 предельные сроки оплаты, установленные п.6 ст.242.2 БК РФ, не наступили.</w:t>
      </w:r>
      <w:r>
        <w:rPr>
          <w:rFonts w:ascii="Times New Roman" w:hAnsi="Times New Roman" w:eastAsia="Calibri"/>
          <w:sz w:val="28"/>
          <w:szCs w:val="28"/>
          <w:lang w:eastAsia="en-US"/>
          <w14:ligatures w14:val="none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Cs/>
          <w:sz w:val="24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информации Департамента финансов на рассмотрении в судах находится 551 дело на сумму 2 920 360,5 тыс. рублей,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 которым интересы администрации МО город Краснодар представляют: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4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Cs/>
          <w:sz w:val="24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Правовой департамент - 345 дел на сумму 2 495 004,9 тыс. рублей (по земельным спорам - 1 625 278,4 тыс. рублей, по изъятию имущества - 226 048,9 тыс. рублей, по задолженности за содержание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имущества - 202 182,8 тыс. рублей, по возмещению ущерба от ДТП - 57 986,4 тыс. рублей, по муниципальным контрактам - 12 118,2 тыс. рублей, прочие - 371 390,3 тыс. рублей (выморочное имущество, возмещение ущерба (убытков), взыскание мор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ального вреда и др.);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4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Cs/>
          <w:sz w:val="24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Департамент строительства - 9 дел на сумму 124 645,3 тыс. рублей (взыскание средств по муниципальным контрактам и другие дела);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4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bCs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- ДГХ и ТЭК - 45 дел на сумму 91 965,0 тыс. рублей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(задолженность за коммунальные услуги, взносы на капитальный ремонт, содержание имущества, по муниципальным контрактам и другие)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bCs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Calibri"/>
          <w:color w:val="auto"/>
          <w:sz w:val="28"/>
          <w:szCs w:val="28"/>
          <w:highlight w:val="none"/>
          <w:lang w:eastAsia="en-US"/>
        </w:rPr>
        <w:t xml:space="preserve">8. С</w:t>
      </w:r>
      <w:r>
        <w:rPr>
          <w:color w:val="auto"/>
          <w:sz w:val="28"/>
          <w:szCs w:val="28"/>
        </w:rPr>
        <w:t xml:space="preserve">овокупный годовой</w:t>
      </w:r>
      <w:r>
        <w:rPr>
          <w:rFonts w:eastAsia="Calibri"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объем </w:t>
      </w:r>
      <w:r>
        <w:rPr>
          <w:rFonts w:eastAsia="Calibri"/>
          <w:bCs/>
          <w:color w:val="auto"/>
          <w:sz w:val="28"/>
          <w:szCs w:val="28"/>
        </w:rPr>
        <w:t xml:space="preserve">закупок (далее - СГОЗ) </w:t>
      </w:r>
      <w:r>
        <w:rPr>
          <w:rFonts w:ascii="Times New Roman" w:hAnsi="Times New Roman" w:eastAsia="Times New Roman"/>
          <w:color w:val="auto"/>
          <w:sz w:val="28"/>
        </w:rPr>
        <w:t xml:space="preserve">за счет бюджетных источников в 2024 году вырос на 7,9 % к предыдущему году и на 01.10.2024 составил 49</w:t>
      </w:r>
      <w:r>
        <w:rPr>
          <w:rFonts w:ascii="Times New Roman" w:hAnsi="Times New Roman" w:eastAsia="Times New Roman"/>
          <w:color w:val="auto"/>
          <w:sz w:val="28"/>
          <w:lang w:val="en-US"/>
        </w:rPr>
        <w:t xml:space="preserve"> </w:t>
      </w:r>
      <w:r>
        <w:rPr>
          <w:rFonts w:ascii="Times New Roman" w:hAnsi="Times New Roman" w:eastAsia="Times New Roman"/>
          <w:color w:val="auto"/>
          <w:sz w:val="28"/>
        </w:rPr>
        <w:t xml:space="preserve">743</w:t>
      </w:r>
      <w:r>
        <w:rPr>
          <w:rFonts w:ascii="Times New Roman" w:hAnsi="Times New Roman" w:eastAsia="Times New Roman"/>
          <w:color w:val="auto"/>
          <w:sz w:val="28"/>
          <w:lang w:val="en-US"/>
        </w:rPr>
        <w:t xml:space="preserve"> </w:t>
      </w:r>
      <w:r>
        <w:rPr>
          <w:rFonts w:ascii="Times New Roman" w:hAnsi="Times New Roman" w:eastAsia="Times New Roman"/>
          <w:color w:val="auto"/>
          <w:sz w:val="28"/>
        </w:rPr>
        <w:t xml:space="preserve">454,6 тыс. рублей, из них согласно Закону № 44-ФЗ - 44 209 686,0 тыс. рублей (88,9%), Закону № 223-ФЗ - 5 533 768,6 тыс. рублей (11,1%).</w:t>
      </w:r>
      <w:r>
        <w:rPr>
          <w:rFonts w:ascii="Times New Roman" w:hAnsi="Times New Roman" w:eastAsia="Times New Roman"/>
          <w:color w:val="auto"/>
          <w:sz w:val="24"/>
        </w:rPr>
        <w:t xml:space="preserve"> </w:t>
      </w:r>
      <w:r>
        <w:rPr>
          <w:rFonts w:ascii="Times New Roman" w:hAnsi="Times New Roman" w:eastAsia="Calibri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auto"/>
          <w:sz w:val="28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Темп осуществления закупок несколько вырос в сравнении с аналогичными периодами 2023 года. На 01.10.2024 закупки характеризуются следующими показателями (в % к СГОЗ): 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- включено в планы-графики - 94,2%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(на 01.10.2023 - 88,9%)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- начаты процедуры - 90,3%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(на 01.10.2023 - 80,6%)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- сумма заключенных контрактов - 87,7%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(на 01.10.2023 - 78,3%);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- фактическое исполнение по контрактам - 30,7% (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на 01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.10.2023 - 47,9%);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- кассовое исполнение - 34,2%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(на 01.10.2023 - 49,0%).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i/>
          <w:color w:val="auto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Минимальная доля закупок, включенных в планы-графики, наблюдается по следующим ГРБС (включая подведомственные учреждения)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: Управление по делам молодежи - 59,0%, АЗВО - 79,6%, Департамент архитектуры - 86,2%, Администрация - 88,0%.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auto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Минимальная доля фактического исполнения по контрактам наблюдается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по следующим ГРБС (включая подведомственные учреждения): Управление по социальным вопросам - 20,8%, УГЗ - 33,0%, Департамент строительства - 34,3%, Департамент финансов - 34,8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%. 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Calibri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Calibri"/>
          <w:color w:val="auto"/>
          <w:sz w:val="28"/>
          <w:szCs w:val="28"/>
          <w14:ligatures w14:val="none"/>
        </w:rPr>
        <w:t xml:space="preserve">9. </w:t>
      </w:r>
      <w:r>
        <w:rPr>
          <w:rFonts w:ascii="Times New Roman" w:hAnsi="Times New Roman" w:eastAsia="Times New Roman"/>
          <w:sz w:val="28"/>
          <w:szCs w:val="28"/>
        </w:rPr>
        <w:t xml:space="preserve">Плановый</w:t>
      </w:r>
      <w:r>
        <w:rPr>
          <w:rFonts w:ascii="Times New Roman" w:hAnsi="Times New Roman"/>
          <w:sz w:val="28"/>
          <w:szCs w:val="28"/>
        </w:rPr>
        <w:t xml:space="preserve"> объем дефицита местного бюджета составил </w:t>
      </w:r>
      <w:r>
        <w:rPr>
          <w:rFonts w:ascii="Times New Roman" w:hAnsi="Times New Roman" w:eastAsia="Times New Roman"/>
          <w:sz w:val="28"/>
          <w:szCs w:val="28"/>
        </w:rPr>
        <w:t xml:space="preserve">5 113 542,5</w:t>
      </w:r>
      <w:r>
        <w:rPr>
          <w:rFonts w:ascii="Times New Roman" w:hAnsi="Times New Roman"/>
          <w:sz w:val="28"/>
          <w:szCs w:val="28"/>
        </w:rPr>
        <w:t xml:space="preserve"> тыс. рублей, снизившись в 3 квартале на 1 692 830,0 тыс. рубле</w:t>
      </w:r>
      <w:r>
        <w:rPr>
          <w:rFonts w:ascii="Times New Roman" w:hAnsi="Times New Roman"/>
          <w:sz w:val="28"/>
          <w:szCs w:val="28"/>
          <w:highlight w:val="white"/>
        </w:rPr>
        <w:t xml:space="preserve">й.</w:t>
      </w:r>
      <w:r>
        <w:rPr>
          <w:rFonts w:ascii="Times New Roman" w:hAnsi="Times New Roman" w:eastAsia="Calibri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Calibri"/>
          <w:color w:val="auto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4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Плановые показатели источников финансирования в части коммерческих и бюджетных кредитов снижены в 10 раз </w:t>
      </w:r>
      <w:r>
        <w:rPr>
          <w:rFonts w:ascii="Times New Roman" w:hAnsi="Times New Roman" w:eastAsia="Times New Roman"/>
          <w:sz w:val="28"/>
          <w:szCs w:val="28"/>
        </w:rPr>
        <w:t xml:space="preserve">в связи с реструктуризацией бюджетного кредита, ранее предоставленного из бюджета Краснодарского края, и отсутствием необходимости его рефинансирования.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4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eastAsiaTheme="minorHAnsi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Местный бюджет исполнен с профицитом в объеме 1 501 923,2 тыс. рублей</w:t>
      </w:r>
      <w:r>
        <w:rPr>
          <w:rFonts w:ascii="Times New Roman" w:hAnsi="Times New Roman" w:eastAsia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условиях превышения исполнения по доходам (73,3%) над расходами (67,6%). </w:t>
      </w:r>
      <w:r>
        <w:rPr>
          <w:rFonts w:ascii="Times New Roman" w:hAnsi="Times New Roman" w:eastAsia="Times New Roman"/>
          <w:sz w:val="28"/>
          <w:szCs w:val="28"/>
        </w:rPr>
        <w:t xml:space="preserve">В сравнении с аналогичным периодом профицит вырос более чем в 2 раза (+821 038,8 тыс. рублей).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 w:eastAsiaTheme="minorHAnsi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Верхний предел муниципального долга на 01.10.2024 снижен более чем в 2 раза (-4 028 300,0 тыс. рублей),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3 квартале в 1,8 раз (- 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2 528 300,0 </w:t>
      </w:r>
      <w:r>
        <w:rPr>
          <w:rFonts w:ascii="Times New Roman" w:hAnsi="Times New Roman" w:eastAsia="Times New Roman"/>
          <w:sz w:val="28"/>
          <w:szCs w:val="28"/>
        </w:rPr>
        <w:t xml:space="preserve">тыс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 рублей), и составил 3 255 000,0 тыс. рублей. 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долг составил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547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830,0 тыс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рублей,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обязательства по бюджетным кредитам - 2 587 830,0 тыс. рублей (72,9%), обязательства по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облигациям - 960 000,0 тыс. рублей (27,1%) и </w:t>
      </w:r>
      <w:r>
        <w:rPr>
          <w:rFonts w:ascii="Times New Roman" w:hAnsi="Times New Roman"/>
          <w:sz w:val="28"/>
          <w:szCs w:val="28"/>
        </w:rPr>
        <w:t xml:space="preserve">не превысил ограничений, установленных БК РФ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Расходы на обслуживание муниципального долга составили 48 096,0 тыс. рублей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выплаты купонного дохода по муниципальным облигациям)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64,5% от утвержденного объема (74 562,6 тыс. рублей)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rPr>
          <w:rFonts w:eastAsiaTheme="minorHAnsi" w:cstheme="minorBidi"/>
          <w:color w:val="0070c0"/>
          <w:sz w:val="28"/>
          <w:szCs w:val="28"/>
        </w:rPr>
      </w:pPr>
      <w:r>
        <w:rPr>
          <w:rFonts w:eastAsiaTheme="minorHAnsi" w:cstheme="minorBidi"/>
          <w:color w:val="0070c0"/>
          <w:sz w:val="28"/>
          <w:szCs w:val="28"/>
          <w:lang w:eastAsia="en-US"/>
        </w:rPr>
      </w:r>
      <w:r>
        <w:rPr>
          <w:rFonts w:eastAsiaTheme="minorHAnsi" w:cstheme="minorBidi"/>
          <w:color w:val="0070c0"/>
          <w:sz w:val="28"/>
          <w:szCs w:val="28"/>
        </w:rPr>
      </w:r>
      <w:r>
        <w:rPr>
          <w:rFonts w:eastAsiaTheme="minorHAnsi" w:cstheme="minorBidi"/>
          <w:color w:val="0070c0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70c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основании </w:t>
      </w:r>
      <w:r>
        <w:rPr>
          <w:color w:val="000000" w:themeColor="text1"/>
          <w:sz w:val="28"/>
          <w:szCs w:val="28"/>
        </w:rPr>
        <w:t xml:space="preserve">проведенного анализа исполнения и контроля за организацией исполнения местного бюджета (бюджета муниципального образования город Краснодар) по итогам 9 месяцев</w:t>
      </w:r>
      <w:r>
        <w:rPr>
          <w:color w:val="000000" w:themeColor="text1"/>
          <w:sz w:val="28"/>
          <w:szCs w:val="28"/>
        </w:rPr>
        <w:t xml:space="preserve"> 2024 года, Контрольно-счетной палатой МО город Краснодар был сформулирован ряд рекомендаций, из них:</w:t>
      </w:r>
      <w:r>
        <w:rPr>
          <w:color w:val="000000" w:themeColor="text1"/>
          <w:sz w:val="28"/>
          <w:szCs w:val="28"/>
        </w:rPr>
      </w:r>
      <w:r>
        <w:rPr>
          <w:color w:val="0070c0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Департаменту финансов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совместно с главными администраторами доходов местного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 учетом ре</w:t>
      </w:r>
      <w:r>
        <w:rPr>
          <w:color w:val="000000" w:themeColor="text1"/>
          <w:sz w:val="28"/>
          <w:szCs w:val="28"/>
        </w:rPr>
        <w:t xml:space="preserve">комендаций, данных в Заключении Контрольно-счетной палаты от 05.11.2024</w:t>
      </w:r>
      <w:r>
        <w:rPr>
          <w:color w:val="000000" w:themeColor="text1"/>
          <w:sz w:val="28"/>
          <w:szCs w:val="28"/>
        </w:rPr>
        <w:t xml:space="preserve">, принять</w:t>
      </w:r>
      <w:r>
        <w:rPr>
          <w:color w:val="000000" w:themeColor="text1"/>
          <w:sz w:val="28"/>
          <w:szCs w:val="28"/>
        </w:rPr>
        <w:t xml:space="preserve"> меры к обеспечению реалистичности плановых назначений по </w:t>
      </w:r>
      <w:r>
        <w:rPr>
          <w:color w:val="000000" w:themeColor="text1"/>
          <w:sz w:val="28"/>
          <w:szCs w:val="28"/>
        </w:rPr>
        <w:t xml:space="preserve">налоговым и неналоговым доходам в части: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увеличения плановых значений на сумму не менее </w:t>
      </w:r>
      <w:r>
        <w:rPr>
          <w:color w:val="000000" w:themeColor="text1"/>
          <w:sz w:val="28"/>
          <w:szCs w:val="28"/>
        </w:rPr>
        <w:t xml:space="preserve">827 500,</w:t>
      </w:r>
      <w:r>
        <w:rPr>
          <w:color w:val="000000" w:themeColor="text1"/>
          <w:sz w:val="28"/>
          <w:szCs w:val="28"/>
        </w:rPr>
        <w:t xml:space="preserve">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</w:t>
      </w:r>
      <w:r>
        <w:rPr>
          <w:color w:val="000000" w:themeColor="text1"/>
          <w:sz w:val="28"/>
          <w:szCs w:val="28"/>
          <w:highlight w:val="white"/>
        </w:rPr>
        <w:t xml:space="preserve">рублей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(по 14 источникам)</w:t>
      </w:r>
      <w:r>
        <w:rPr>
          <w:color w:val="000000" w:themeColor="text1"/>
          <w:sz w:val="28"/>
          <w:szCs w:val="28"/>
        </w:rPr>
        <w:t xml:space="preserve">, из них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доходам от платных услуг - не менее 300 000,0 тыс. рублей;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доходам от продажи активов - не менее 200 000,0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госпошлине - не менее 90 000,0 тыс. рублей;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доходам от парковок - не менее 69 000,0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рублей;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штрафам - не менее 68 000,0 тыс. рублей;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уменьшения плановых назначений на сумму не менее </w:t>
      </w:r>
      <w:r>
        <w:rPr>
          <w:color w:val="000000" w:themeColor="text1"/>
          <w:sz w:val="28"/>
          <w:szCs w:val="28"/>
        </w:rPr>
        <w:t xml:space="preserve">11 000,0</w:t>
      </w:r>
      <w:r>
        <w:rPr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  <w:shd w:val="clear" w:color="auto" w:fill="ffffff" w:themeFill="background1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auto" w:fill="ffffff" w:themeFill="background1"/>
        </w:rPr>
        <w:t xml:space="preserve">(по 2 источникам)</w:t>
      </w:r>
      <w:r/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32"/>
          <w:szCs w:val="28"/>
        </w:rPr>
      </w:r>
      <w:r>
        <w:rPr>
          <w:rFonts w:ascii="Times New Roman" w:hAnsi="Times New Roman" w:eastAsia="Times New Roman"/>
          <w:sz w:val="32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2. Департаменту образования: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2.1. Обратиться в Министерство образования с целью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внесения изменений в Соглашение на оснащение вновь созд</w:t>
      </w:r>
      <w:r>
        <w:rPr>
          <w:color w:val="000000" w:themeColor="text1"/>
          <w:sz w:val="28"/>
          <w:szCs w:val="28"/>
        </w:rPr>
        <w:t xml:space="preserve">анных и (или) создаваемых мест на 2024 год с учетом фактического количества вводимых объектов, а также о выделении в 2025 году из бюджета Краснодарского края соответствующих ассигнований на оснащение объектов, не завершенных строительством в текущем году.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2.2. Рассмотреть вопрос по сокращению средств местного бюджета, выделенных на </w:t>
      </w:r>
      <w:r>
        <w:rPr>
          <w:color w:val="000000" w:themeColor="text1"/>
          <w:sz w:val="28"/>
          <w:szCs w:val="28"/>
        </w:rPr>
        <w:t xml:space="preserve">оснащение новой сети, проведение капитального ремонта в сумме не менее 382 256,3 тыс. рублей.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2.3. Обеспечить ассигнованиями расходы: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bCs/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ab/>
        <w:t xml:space="preserve">на выполнение муниципального задания учреждениями дошкольного образования в части приобретения продуктов питания с учетом фактической потребности;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bCs/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ab/>
        <w:t xml:space="preserve"> по погашению задолженности по оплате услуг </w:t>
      </w:r>
      <w:r>
        <w:rPr>
          <w:color w:val="000000" w:themeColor="text1"/>
          <w:sz w:val="28"/>
          <w:szCs w:val="28"/>
        </w:rPr>
        <w:t xml:space="preserve">по приему сточных вод с загрязнениями, превышающими </w:t>
      </w:r>
      <w:r>
        <w:rPr>
          <w:color w:val="000000" w:themeColor="text1"/>
          <w:sz w:val="28"/>
          <w:szCs w:val="28"/>
        </w:rPr>
        <w:t xml:space="preserve">предельно допустимые концентрации загрязняющих веществ</w:t>
      </w:r>
      <w:r>
        <w:rPr>
          <w:color w:val="000000" w:themeColor="text1"/>
          <w:sz w:val="28"/>
          <w:szCs w:val="28"/>
        </w:rPr>
        <w:t xml:space="preserve"> после завершения сверки взаимных расчетов муниципальных образовательных учреждений с ООО «Краснодар-Водоканал».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3. ДГХ и ТЭК </w:t>
      </w:r>
      <w:r>
        <w:rPr>
          <w:color w:val="000000" w:themeColor="text1"/>
          <w:sz w:val="28"/>
          <w:szCs w:val="28"/>
        </w:rPr>
        <w:t xml:space="preserve">сократить невостребованные (избыточно запланированные) ассигнования (средства местного бюджета) в сумме 304 552,6 тыс. рублей, из них: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Программе «Комплексное развитие в сфере ЖКХ» на сумму 297 222,7 тыс. рублей;</w:t>
      </w:r>
      <w:r/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- по Программе «Социальная поддержка граждан» на реализацию мероприятия, связанного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проведение</w:t>
      </w:r>
      <w:r>
        <w:rPr>
          <w:rFonts w:ascii="Times New Roman" w:hAnsi="Times New Roman"/>
          <w:sz w:val="28"/>
        </w:rPr>
        <w:t xml:space="preserve">м ремонта жилых помещений ветеранов Великой Отечественной войны и лиц, приравненных к ним, в сумме                                      5 035,1 тыс. рублей;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tabs>
          <w:tab w:val="left" w:pos="993" w:leader="none"/>
        </w:tabs>
        <w:rPr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</w:rPr>
        <w:t xml:space="preserve">по Программе «Фо</w:t>
      </w:r>
      <w:r>
        <w:rPr>
          <w:color w:val="000000" w:themeColor="text1"/>
          <w:sz w:val="28"/>
          <w:szCs w:val="28"/>
        </w:rPr>
        <w:t xml:space="preserve">рмирование современной городской среды» на реализацию мероприятий по благоустройству общественных территорий - 2 294,8 тыс. рублей.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eastAsia="Times New Roman"/>
          <w:b/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4. Департаменту транспорта </w:t>
      </w:r>
      <w:r>
        <w:rPr>
          <w:color w:val="000000" w:themeColor="text1"/>
          <w:sz w:val="28"/>
          <w:szCs w:val="28"/>
        </w:rPr>
        <w:t xml:space="preserve">сократить ассигнования, предусмотренные по объектам «Строительство автомобильной дороги к спортивному комплексу Дворец «Самбо», «С</w:t>
      </w:r>
      <w:r>
        <w:rPr>
          <w:color w:val="000000" w:themeColor="text1"/>
          <w:sz w:val="28"/>
          <w:szCs w:val="28"/>
        </w:rPr>
        <w:t xml:space="preserve">троительство подземного пешеходного перехода через ул. Красных Партизан в районе комплекса МУЗ ГБ №2 «КМЛДО», «Строительство на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дземного пешеходного перехода через железную дорогу, с выходом на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ул.Уральскую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ул.Производственную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в районе ж/д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Пашковская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на сумму 116 483,1 тыс. рублей.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b/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5. Департаменту строительства, ДМС и ГЗ </w:t>
      </w:r>
      <w:r>
        <w:rPr>
          <w:color w:val="000000" w:themeColor="text1"/>
          <w:sz w:val="28"/>
          <w:szCs w:val="28"/>
        </w:rPr>
        <w:t xml:space="preserve">пр</w:t>
      </w:r>
      <w:r>
        <w:rPr>
          <w:color w:val="000000" w:themeColor="text1"/>
          <w:sz w:val="28"/>
          <w:szCs w:val="28"/>
        </w:rPr>
        <w:t xml:space="preserve">инять меры к внесению необходимых изменений в Соглашения о предоставлении межбюджетных трансфертов </w:t>
      </w:r>
      <w:r>
        <w:rPr>
          <w:color w:val="000000" w:themeColor="text1"/>
          <w:sz w:val="28"/>
          <w:szCs w:val="28"/>
        </w:rPr>
        <w:t xml:space="preserve">по объектам с рисками </w:t>
      </w:r>
      <w:r>
        <w:rPr>
          <w:color w:val="000000" w:themeColor="text1"/>
          <w:sz w:val="28"/>
          <w:szCs w:val="28"/>
        </w:rPr>
        <w:t xml:space="preserve">неосвоения</w:t>
      </w:r>
      <w:r>
        <w:rPr>
          <w:color w:val="000000" w:themeColor="text1"/>
          <w:sz w:val="28"/>
          <w:szCs w:val="28"/>
        </w:rPr>
        <w:t xml:space="preserve"> бюджетных ассигнований, невыполнения условий предоставления межбюджетных трансфертов, </w:t>
      </w:r>
      <w:r>
        <w:rPr>
          <w:color w:val="000000" w:themeColor="text1"/>
          <w:sz w:val="28"/>
          <w:szCs w:val="28"/>
        </w:rPr>
        <w:t xml:space="preserve">недостижения</w:t>
      </w:r>
      <w:r>
        <w:rPr>
          <w:color w:val="000000" w:themeColor="text1"/>
          <w:sz w:val="28"/>
          <w:szCs w:val="28"/>
        </w:rPr>
        <w:t xml:space="preserve"> результатов использования субсидий (по муниципальным программам «Комплексное развитие в сфере строительства», «Расселение аварийного фонда»)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эксперт</w:t>
      </w:r>
      <w:r>
        <w:rPr>
          <w:sz w:val="28"/>
          <w:szCs w:val="28"/>
        </w:rPr>
        <w:t xml:space="preserve">изы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ходо</w:t>
      </w:r>
      <w:r>
        <w:rPr>
          <w:sz w:val="28"/>
          <w:szCs w:val="28"/>
        </w:rPr>
        <w:t xml:space="preserve">в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В.И.Назаренко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51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4126880"/>
      <w:docPartObj>
        <w:docPartGallery w:val="Page Numbers (Top of Page)"/>
        <w:docPartUnique w:val="true"/>
      </w:docPartObj>
      <w:rPr/>
    </w:sdtPr>
    <w:sdtContent>
      <w:p>
        <w:pPr>
          <w:pStyle w:val="92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4" w:hanging="1215"/>
      </w:pPr>
      <w:rPr>
        <w:rFonts w:hint="default" w:eastAsiaTheme="minorHAnsi" w:cstheme="minorBid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5" w:hanging="116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8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eastAsia="Calibr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2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55" w:hanging="720"/>
      </w:pPr>
      <w:rPr>
        <w:rFonts w:hint="default" w:eastAsia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148" w:hanging="720"/>
      </w:pPr>
      <w:rPr>
        <w:rFonts w:hint="default" w:eastAsia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868" w:hanging="1080"/>
      </w:pPr>
      <w:rPr>
        <w:rFonts w:hint="default" w:eastAsia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3228" w:hanging="1080"/>
      </w:pPr>
      <w:rPr>
        <w:rFonts w:hint="default" w:eastAsia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948" w:hanging="1440"/>
      </w:pPr>
      <w:rPr>
        <w:rFonts w:hint="default" w:eastAsia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8" w:hanging="1800"/>
      </w:pPr>
      <w:rPr>
        <w:rFonts w:hint="default" w:eastAsia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8" w:hanging="1800"/>
      </w:pPr>
      <w:rPr>
        <w:rFonts w:hint="default" w:eastAsia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8" w:hanging="2160"/>
      </w:pPr>
      <w:rPr>
        <w:rFonts w:hint="default" w:eastAsia="Times New Roman"/>
      </w:rPr>
    </w:lvl>
  </w:abstractNum>
  <w:abstractNum w:abstractNumId="2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 w:eastAsia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4" w:hanging="720"/>
      </w:pPr>
      <w:rPr>
        <w:rFonts w:hint="default" w:eastAsia="Calibri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04" w:hanging="720"/>
      </w:pPr>
      <w:rPr>
        <w:rFonts w:hint="default" w:eastAsia="Calibri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64" w:hanging="1080"/>
      </w:pPr>
      <w:rPr>
        <w:rFonts w:hint="default" w:eastAsia="Calibri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64" w:hanging="1080"/>
      </w:pPr>
      <w:rPr>
        <w:rFonts w:hint="default" w:eastAsia="Calibri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224" w:hanging="1440"/>
      </w:pPr>
      <w:rPr>
        <w:rFonts w:hint="default" w:eastAsia="Calibri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84" w:hanging="1800"/>
      </w:pPr>
      <w:rPr>
        <w:rFonts w:hint="default" w:eastAsia="Calibri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4" w:hanging="1800"/>
      </w:pPr>
      <w:rPr>
        <w:rFonts w:hint="default" w:eastAsia="Calibri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44" w:hanging="2160"/>
      </w:pPr>
      <w:rPr>
        <w:rFonts w:hint="default" w:eastAsia="Calibri"/>
        <w:b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4" w:hanging="720"/>
      </w:pPr>
      <w:rPr>
        <w:rFonts w:hint="default" w:eastAsia="Calibri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04" w:hanging="720"/>
      </w:pPr>
      <w:rPr>
        <w:rFonts w:hint="default" w:eastAsia="Calibri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64" w:hanging="1080"/>
      </w:pPr>
      <w:rPr>
        <w:rFonts w:hint="default" w:eastAsia="Calibri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64" w:hanging="1080"/>
      </w:pPr>
      <w:rPr>
        <w:rFonts w:hint="default" w:eastAsia="Calibri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224" w:hanging="1440"/>
      </w:pPr>
      <w:rPr>
        <w:rFonts w:hint="default" w:eastAsia="Calibri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84" w:hanging="1800"/>
      </w:pPr>
      <w:rPr>
        <w:rFonts w:hint="default" w:eastAsia="Calibri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4" w:hanging="1800"/>
      </w:pPr>
      <w:rPr>
        <w:rFonts w:hint="default" w:eastAsia="Calibri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44" w:hanging="2160"/>
      </w:pPr>
      <w:rPr>
        <w:rFonts w:hint="default" w:eastAsia="Calibri"/>
        <w:b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4" w:hanging="720"/>
      </w:pPr>
      <w:rPr>
        <w:rFonts w:hint="default" w:eastAsia="Calibri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04" w:hanging="720"/>
      </w:pPr>
      <w:rPr>
        <w:rFonts w:hint="default" w:eastAsia="Calibri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64" w:hanging="1080"/>
      </w:pPr>
      <w:rPr>
        <w:rFonts w:hint="default" w:eastAsia="Calibri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64" w:hanging="1080"/>
      </w:pPr>
      <w:rPr>
        <w:rFonts w:hint="default" w:eastAsia="Calibri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224" w:hanging="1440"/>
      </w:pPr>
      <w:rPr>
        <w:rFonts w:hint="default" w:eastAsia="Calibri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84" w:hanging="1800"/>
      </w:pPr>
      <w:rPr>
        <w:rFonts w:hint="default" w:eastAsia="Calibri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4" w:hanging="1800"/>
      </w:pPr>
      <w:rPr>
        <w:rFonts w:hint="default" w:eastAsia="Calibri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44" w:hanging="2160"/>
      </w:pPr>
      <w:rPr>
        <w:rFonts w:hint="default" w:eastAsia="Calibri"/>
        <w:b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4" w:hanging="720"/>
      </w:pPr>
      <w:rPr>
        <w:rFonts w:hint="default" w:eastAsia="Calibri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04" w:hanging="720"/>
      </w:pPr>
      <w:rPr>
        <w:rFonts w:hint="default" w:eastAsia="Calibri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64" w:hanging="1080"/>
      </w:pPr>
      <w:rPr>
        <w:rFonts w:hint="default" w:eastAsia="Calibri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64" w:hanging="1080"/>
      </w:pPr>
      <w:rPr>
        <w:rFonts w:hint="default" w:eastAsia="Calibri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224" w:hanging="1440"/>
      </w:pPr>
      <w:rPr>
        <w:rFonts w:hint="default" w:eastAsia="Calibri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84" w:hanging="1800"/>
      </w:pPr>
      <w:rPr>
        <w:rFonts w:hint="default" w:eastAsia="Calibri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4" w:hanging="1800"/>
      </w:pPr>
      <w:rPr>
        <w:rFonts w:hint="default" w:eastAsia="Calibri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44" w:hanging="2160"/>
      </w:pPr>
      <w:rPr>
        <w:rFonts w:hint="default" w:eastAsia="Calibri"/>
        <w:b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 w:eastAsia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4" w:hanging="720"/>
      </w:pPr>
      <w:rPr>
        <w:rFonts w:hint="default" w:eastAsia="Calibri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504" w:hanging="720"/>
      </w:pPr>
      <w:rPr>
        <w:rFonts w:hint="default" w:eastAsia="Calibri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64" w:hanging="1080"/>
      </w:pPr>
      <w:rPr>
        <w:rFonts w:hint="default" w:eastAsia="Calibri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64" w:hanging="1080"/>
      </w:pPr>
      <w:rPr>
        <w:rFonts w:hint="default" w:eastAsia="Calibri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224" w:hanging="1440"/>
      </w:pPr>
      <w:rPr>
        <w:rFonts w:hint="default" w:eastAsia="Calibri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84" w:hanging="1800"/>
      </w:pPr>
      <w:rPr>
        <w:rFonts w:hint="default" w:eastAsia="Calibri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84" w:hanging="1800"/>
      </w:pPr>
      <w:rPr>
        <w:rFonts w:hint="default" w:eastAsia="Calibri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44" w:hanging="2160"/>
      </w:pPr>
      <w:rPr>
        <w:rFonts w:hint="default" w:eastAsia="Calibri"/>
        <w:b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22"/>
  </w:num>
  <w:num w:numId="11">
    <w:abstractNumId w:val="25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7"/>
  </w:num>
  <w:num w:numId="19">
    <w:abstractNumId w:val="21"/>
  </w:num>
  <w:num w:numId="20">
    <w:abstractNumId w:val="9"/>
  </w:num>
  <w:num w:numId="21">
    <w:abstractNumId w:val="11"/>
  </w:num>
  <w:num w:numId="22">
    <w:abstractNumId w:val="15"/>
  </w:num>
  <w:num w:numId="23">
    <w:abstractNumId w:val="13"/>
  </w:num>
  <w:num w:numId="24">
    <w:abstractNumId w:val="1"/>
  </w:num>
  <w:num w:numId="25">
    <w:abstractNumId w:val="3"/>
  </w:num>
  <w:num w:numId="26">
    <w:abstractNumId w:val="24"/>
  </w:num>
  <w:num w:numId="27">
    <w:abstractNumId w:val="23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0"/>
    <w:link w:val="752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0"/>
    <w:link w:val="772"/>
    <w:uiPriority w:val="10"/>
    <w:rPr>
      <w:sz w:val="48"/>
      <w:szCs w:val="48"/>
    </w:rPr>
  </w:style>
  <w:style w:type="character" w:styleId="746">
    <w:name w:val="Subtitle Char"/>
    <w:basedOn w:val="760"/>
    <w:link w:val="774"/>
    <w:uiPriority w:val="11"/>
    <w:rPr>
      <w:sz w:val="24"/>
      <w:szCs w:val="24"/>
    </w:rPr>
  </w:style>
  <w:style w:type="character" w:styleId="747">
    <w:name w:val="Quote Char"/>
    <w:link w:val="776"/>
    <w:uiPriority w:val="29"/>
    <w:rPr>
      <w:i/>
    </w:rPr>
  </w:style>
  <w:style w:type="character" w:styleId="748">
    <w:name w:val="Intense Quote Char"/>
    <w:link w:val="778"/>
    <w:uiPriority w:val="30"/>
    <w:rPr>
      <w:i/>
    </w:rPr>
  </w:style>
  <w:style w:type="character" w:styleId="749">
    <w:name w:val="Endnote Text Char"/>
    <w:link w:val="911"/>
    <w:uiPriority w:val="99"/>
    <w:rPr>
      <w:sz w:val="20"/>
    </w:rPr>
  </w:style>
  <w:style w:type="paragraph" w:styleId="7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1">
    <w:name w:val="Heading 1"/>
    <w:basedOn w:val="750"/>
    <w:next w:val="750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2">
    <w:name w:val="Heading 2"/>
    <w:basedOn w:val="750"/>
    <w:next w:val="750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3">
    <w:name w:val="Heading 3"/>
    <w:basedOn w:val="750"/>
    <w:next w:val="750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Заголовок 1 Знак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60"/>
    <w:link w:val="752"/>
    <w:uiPriority w:val="9"/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Title"/>
    <w:basedOn w:val="750"/>
    <w:next w:val="75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basedOn w:val="760"/>
    <w:link w:val="772"/>
    <w:uiPriority w:val="10"/>
    <w:rPr>
      <w:sz w:val="48"/>
      <w:szCs w:val="48"/>
    </w:rPr>
  </w:style>
  <w:style w:type="paragraph" w:styleId="774">
    <w:name w:val="Subtitle"/>
    <w:basedOn w:val="750"/>
    <w:next w:val="75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 w:customStyle="1">
    <w:name w:val="Подзаголовок Знак"/>
    <w:basedOn w:val="760"/>
    <w:link w:val="774"/>
    <w:uiPriority w:val="11"/>
    <w:rPr>
      <w:sz w:val="24"/>
      <w:szCs w:val="24"/>
    </w:rPr>
  </w:style>
  <w:style w:type="paragraph" w:styleId="776">
    <w:name w:val="Quote"/>
    <w:basedOn w:val="750"/>
    <w:next w:val="750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50"/>
    <w:next w:val="750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60"/>
    <w:uiPriority w:val="99"/>
  </w:style>
  <w:style w:type="character" w:styleId="781" w:customStyle="1">
    <w:name w:val="Footer Char"/>
    <w:basedOn w:val="760"/>
    <w:uiPriority w:val="99"/>
  </w:style>
  <w:style w:type="paragraph" w:styleId="782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</w:style>
  <w:style w:type="table" w:styleId="784">
    <w:name w:val="Table Grid"/>
    <w:basedOn w:val="7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Table Grid Light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6">
    <w:name w:val="Plain Table 1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 w:customStyle="1">
    <w:name w:val="Footnote Text Char"/>
    <w:uiPriority w:val="99"/>
    <w:rPr>
      <w:sz w:val="18"/>
    </w:rPr>
  </w:style>
  <w:style w:type="paragraph" w:styleId="911">
    <w:name w:val="endnote text"/>
    <w:basedOn w:val="750"/>
    <w:link w:val="912"/>
    <w:uiPriority w:val="99"/>
    <w:semiHidden/>
    <w:unhideWhenUsed/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60"/>
    <w:uiPriority w:val="99"/>
    <w:semiHidden/>
    <w:unhideWhenUsed/>
    <w:rPr>
      <w:vertAlign w:val="superscript"/>
    </w:rPr>
  </w:style>
  <w:style w:type="paragraph" w:styleId="914">
    <w:name w:val="toc 1"/>
    <w:basedOn w:val="750"/>
    <w:next w:val="750"/>
    <w:uiPriority w:val="39"/>
    <w:unhideWhenUsed/>
    <w:pPr>
      <w:spacing w:after="57"/>
    </w:pPr>
  </w:style>
  <w:style w:type="paragraph" w:styleId="915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16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17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18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19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20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21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22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750"/>
    <w:next w:val="750"/>
    <w:uiPriority w:val="99"/>
    <w:unhideWhenUsed/>
  </w:style>
  <w:style w:type="paragraph" w:styleId="925">
    <w:name w:val="Body Text Indent"/>
    <w:basedOn w:val="750"/>
    <w:link w:val="926"/>
    <w:uiPriority w:val="99"/>
    <w:unhideWhenUsed/>
    <w:pPr>
      <w:ind w:left="283"/>
      <w:spacing w:after="120" w:line="276" w:lineRule="auto"/>
    </w:pPr>
    <w:rPr>
      <w:rFonts w:ascii="Calibri" w:hAnsi="Calibri"/>
    </w:rPr>
  </w:style>
  <w:style w:type="character" w:styleId="926" w:customStyle="1">
    <w:name w:val="Основной текст с отступом Знак"/>
    <w:basedOn w:val="760"/>
    <w:link w:val="925"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paragraph" w:styleId="927">
    <w:name w:val="List Paragraph"/>
    <w:basedOn w:val="750"/>
    <w:link w:val="937"/>
    <w:uiPriority w:val="34"/>
    <w:qFormat/>
    <w:pPr>
      <w:contextualSpacing/>
      <w:ind w:left="720"/>
    </w:pPr>
    <w:rPr>
      <w:sz w:val="24"/>
      <w:szCs w:val="24"/>
    </w:rPr>
  </w:style>
  <w:style w:type="paragraph" w:styleId="928">
    <w:name w:val="Header"/>
    <w:basedOn w:val="750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Верхний колонтитул Знак"/>
    <w:basedOn w:val="760"/>
    <w:link w:val="9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0">
    <w:name w:val="Footer"/>
    <w:basedOn w:val="750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"/>
    <w:basedOn w:val="760"/>
    <w:link w:val="93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2">
    <w:name w:val="No Spacing"/>
    <w:link w:val="933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33" w:customStyle="1">
    <w:name w:val="Без интервала Знак"/>
    <w:link w:val="932"/>
    <w:uiPriority w:val="1"/>
    <w:rPr>
      <w:rFonts w:ascii="Calibri" w:hAnsi="Calibri" w:eastAsia="Times New Roman" w:cs="Times New Roman"/>
      <w:lang w:eastAsia="ru-RU"/>
    </w:rPr>
  </w:style>
  <w:style w:type="paragraph" w:styleId="934">
    <w:name w:val="footnote text"/>
    <w:basedOn w:val="750"/>
    <w:link w:val="935"/>
    <w:uiPriority w:val="99"/>
    <w:unhideWhenUsed/>
  </w:style>
  <w:style w:type="character" w:styleId="935" w:customStyle="1">
    <w:name w:val="Текст сноски Знак"/>
    <w:basedOn w:val="760"/>
    <w:link w:val="934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936">
    <w:name w:val="footnote reference"/>
    <w:link w:val="944"/>
    <w:uiPriority w:val="99"/>
    <w:unhideWhenUsed/>
    <w:qFormat/>
    <w:rPr>
      <w:vertAlign w:val="superscript"/>
    </w:rPr>
  </w:style>
  <w:style w:type="character" w:styleId="937" w:customStyle="1">
    <w:name w:val="Абзац списка Знак"/>
    <w:link w:val="927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 w:customStyle="1">
    <w:name w:val="ConsPlusNormal"/>
    <w:link w:val="942"/>
    <w:pPr>
      <w:spacing w:after="0" w:line="240" w:lineRule="auto"/>
    </w:pPr>
    <w:rPr>
      <w:rFonts w:ascii="Times New Roman" w:hAnsi="Times New Roman" w:eastAsia="Arial Unicode MS" w:cs="Times New Roman"/>
      <w:sz w:val="28"/>
      <w:szCs w:val="28"/>
    </w:rPr>
  </w:style>
  <w:style w:type="paragraph" w:styleId="939">
    <w:name w:val="Normal (Web)"/>
    <w:basedOn w:val="750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940">
    <w:name w:val="Hyperlink"/>
    <w:uiPriority w:val="99"/>
    <w:unhideWhenUsed/>
    <w:rPr>
      <w:color w:val="0000ff"/>
      <w:u w:val="single"/>
    </w:rPr>
  </w:style>
  <w:style w:type="paragraph" w:styleId="941" w:customStyle="1">
    <w:name w:val="Default"/>
    <w:pPr>
      <w:spacing w:after="0" w:line="240" w:lineRule="auto"/>
    </w:pPr>
    <w:rPr>
      <w:rFonts w:ascii="Times New Roman" w:hAnsi="Times New Roman" w:eastAsia="Arial Unicode MS" w:cs="Times New Roman"/>
      <w:color w:val="000000"/>
      <w:sz w:val="24"/>
      <w:szCs w:val="24"/>
    </w:rPr>
  </w:style>
  <w:style w:type="character" w:styleId="942" w:customStyle="1">
    <w:name w:val="ConsPlusNormal Знак"/>
    <w:link w:val="938"/>
    <w:rPr>
      <w:rFonts w:ascii="Times New Roman" w:hAnsi="Times New Roman" w:eastAsia="Arial Unicode MS" w:cs="Times New Roman"/>
      <w:sz w:val="28"/>
      <w:szCs w:val="28"/>
    </w:rPr>
  </w:style>
  <w:style w:type="paragraph" w:styleId="943" w:customStyle="1">
    <w:name w:val="Standard"/>
    <w:rPr>
      <w:rFonts w:ascii="Calibri" w:hAnsi="Calibri" w:eastAsia="Calibri" w:cs="Times New Roman"/>
    </w:rPr>
  </w:style>
  <w:style w:type="paragraph" w:styleId="944" w:customStyle="1">
    <w:name w:val="Знак сноски1"/>
    <w:link w:val="936"/>
    <w:uiPriority w:val="99"/>
    <w:pPr>
      <w:spacing w:after="0" w:line="360" w:lineRule="auto"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84E5-5D51-4BEF-92D8-60F07B13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Вадим Иванович</dc:creator>
  <cp:revision>36</cp:revision>
  <dcterms:created xsi:type="dcterms:W3CDTF">2022-09-07T08:08:00Z</dcterms:created>
  <dcterms:modified xsi:type="dcterms:W3CDTF">2024-12-03T08:11:07Z</dcterms:modified>
</cp:coreProperties>
</file>