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02" w:rsidRPr="00B80908" w:rsidRDefault="00BE2853" w:rsidP="00B809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908">
        <w:rPr>
          <w:rFonts w:ascii="Times New Roman" w:hAnsi="Times New Roman" w:cs="Times New Roman"/>
          <w:b/>
          <w:sz w:val="32"/>
          <w:szCs w:val="32"/>
        </w:rPr>
        <w:t>«Об имеющихся вопросах внешнего муниципального финансового контроля в малых МКСО»</w:t>
      </w:r>
    </w:p>
    <w:p w:rsidR="00B80908" w:rsidRDefault="00B80908">
      <w:pPr>
        <w:rPr>
          <w:rFonts w:ascii="Times New Roman" w:hAnsi="Times New Roman" w:cs="Times New Roman"/>
          <w:sz w:val="28"/>
          <w:szCs w:val="28"/>
        </w:rPr>
      </w:pPr>
    </w:p>
    <w:p w:rsidR="002D41FE" w:rsidRDefault="00FD5EDD" w:rsidP="00FD5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эффективности деятельности малых </w:t>
      </w:r>
      <w:r w:rsidR="0060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КСО, прежде всего,</w:t>
      </w:r>
      <w:r w:rsidRPr="00FD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упираются в</w:t>
      </w:r>
      <w:r w:rsidR="007A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ключевую проблему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недостаточную для исполнения</w:t>
      </w:r>
      <w:r w:rsidR="002D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штатную численность</w:t>
      </w:r>
      <w:r w:rsidR="007A3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5EDD" w:rsidRDefault="00FD5EDD" w:rsidP="00FD5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путей решения проблем</w:t>
      </w:r>
      <w:r w:rsidR="0072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малых КСО </w:t>
      </w:r>
      <w:r w:rsidR="002D41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констатировать отсутствие удовлетворительной зарплаты, позволяющей принять на работу компетентных сотрудников (в случае если таковые имеются в малых населенных пунктах), отсутствие нормального бюджетного финансирования, необходимой техники и доступа к информационным системам.</w:t>
      </w:r>
      <w:r w:rsidR="00CF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этим</w:t>
      </w:r>
      <w:r w:rsidR="00EB1D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дефицитами</w:t>
      </w:r>
      <w:r w:rsidR="00CF03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следует соответствующее качество исполнение возложенных полномочий.</w:t>
      </w:r>
      <w:r w:rsidR="002D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</w:t>
      </w:r>
      <w:r w:rsidR="00EB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</w:t>
      </w:r>
      <w:r w:rsidR="00724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ситуа</w:t>
      </w:r>
      <w:r w:rsidR="001D256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с организаций ВМФК в России, поскольку средняя</w:t>
      </w:r>
      <w:r w:rsidR="0060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России </w:t>
      </w:r>
      <w:r w:rsidR="001D256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МКСО</w:t>
      </w:r>
      <w:r w:rsidR="0060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3,1 ед.</w:t>
      </w:r>
    </w:p>
    <w:p w:rsidR="009D5660" w:rsidRPr="009D5660" w:rsidRDefault="002641EB" w:rsidP="0001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9D5660" w:rsidRPr="009D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5660" w:rsidRPr="009D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D5660" w:rsidRPr="009D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сбор и обобщение данных о созданных в регионах Российской Федерации органах внешнего муниципального финансового контроля</w:t>
      </w:r>
      <w:r w:rsidR="00AC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объединениях, </w:t>
      </w:r>
      <w:r w:rsidR="00015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их</w:t>
      </w:r>
      <w:r w:rsidR="00015B13" w:rsidRPr="0001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 w:rsidR="00015B1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атной и фактической численности</w:t>
      </w:r>
      <w:r w:rsidR="00015B13" w:rsidRPr="00015B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сведения об уровне квалификации работников</w:t>
      </w:r>
      <w:r w:rsidR="00AC3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основных показателях их деятельности.</w:t>
      </w:r>
    </w:p>
    <w:p w:rsidR="009D5660" w:rsidRPr="00D676DC" w:rsidRDefault="009D5660" w:rsidP="009D56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660" w:rsidRPr="00D676DC" w:rsidRDefault="002641EB" w:rsidP="002641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01.01.2019</w:t>
      </w:r>
      <w:r w:rsidR="009D5660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Российской Федерации 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насчитывалось </w:t>
      </w:r>
      <w:r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21656</w:t>
      </w:r>
      <w:r w:rsidR="009D5660"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образований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5660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660"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МКСО</w:t>
      </w:r>
      <w:r w:rsidR="009D5660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созданных на территории РФ, составило </w:t>
      </w:r>
      <w:r w:rsidR="009D5660"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2217 единиц</w:t>
      </w:r>
      <w:r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10,2%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количества МО)</w:t>
      </w:r>
      <w:r w:rsidR="009D5660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 состоянию на 01.01.2019 статусом юридического лица обладает 1231, или 55,5% созданных муниципальных КСО.</w:t>
      </w:r>
    </w:p>
    <w:p w:rsidR="009D5660" w:rsidRPr="00D676DC" w:rsidRDefault="009D5660" w:rsidP="009D5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созданных на 01.01.2019 муниципальных КСО в разрезе типов муниципальных образований представлены в </w:t>
      </w:r>
      <w:r w:rsidR="007244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1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660" w:rsidRPr="00D676DC" w:rsidRDefault="00724452" w:rsidP="009D56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276"/>
        <w:gridCol w:w="1559"/>
        <w:gridCol w:w="2126"/>
      </w:tblGrid>
      <w:tr w:rsidR="001E51BD" w:rsidRPr="00D676DC" w:rsidTr="001E51BD">
        <w:trPr>
          <w:trHeight w:val="70"/>
          <w:tblHeader/>
        </w:trPr>
        <w:tc>
          <w:tcPr>
            <w:tcW w:w="4140" w:type="dxa"/>
            <w:vMerge w:val="restart"/>
            <w:shd w:val="clear" w:color="auto" w:fill="DEEAF6" w:themeFill="accent1" w:themeFillTint="33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Наименование типа муниципального образования</w:t>
            </w:r>
          </w:p>
        </w:tc>
        <w:tc>
          <w:tcPr>
            <w:tcW w:w="4961" w:type="dxa"/>
            <w:gridSpan w:val="3"/>
            <w:shd w:val="clear" w:color="auto" w:fill="DEEAF6" w:themeFill="accent1" w:themeFillTint="33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</w:t>
            </w:r>
          </w:p>
        </w:tc>
      </w:tr>
      <w:tr w:rsidR="001E51BD" w:rsidRPr="00D676DC" w:rsidTr="001E51BD">
        <w:trPr>
          <w:trHeight w:val="146"/>
          <w:tblHeader/>
        </w:trPr>
        <w:tc>
          <w:tcPr>
            <w:tcW w:w="4140" w:type="dxa"/>
            <w:vMerge/>
            <w:shd w:val="clear" w:color="auto" w:fill="DEEAF6" w:themeFill="accent1" w:themeFillTint="33"/>
            <w:vAlign w:val="center"/>
          </w:tcPr>
          <w:p w:rsidR="001E51BD" w:rsidRPr="00D676DC" w:rsidRDefault="001E51BD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созданных МКСО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МКСО в общем кол-ве МО,%</w:t>
            </w:r>
          </w:p>
        </w:tc>
      </w:tr>
      <w:tr w:rsidR="001E51BD" w:rsidRPr="00D676DC" w:rsidTr="001E51BD">
        <w:trPr>
          <w:trHeight w:val="282"/>
        </w:trPr>
        <w:tc>
          <w:tcPr>
            <w:tcW w:w="4140" w:type="dxa"/>
            <w:shd w:val="clear" w:color="auto" w:fill="auto"/>
            <w:vAlign w:val="center"/>
          </w:tcPr>
          <w:p w:rsidR="001E51BD" w:rsidRPr="00D676DC" w:rsidRDefault="001E51BD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21 656</w:t>
            </w:r>
          </w:p>
        </w:tc>
        <w:tc>
          <w:tcPr>
            <w:tcW w:w="1559" w:type="dxa"/>
            <w:shd w:val="clear" w:color="auto" w:fill="auto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2 217</w:t>
            </w:r>
          </w:p>
        </w:tc>
        <w:tc>
          <w:tcPr>
            <w:tcW w:w="2126" w:type="dxa"/>
            <w:shd w:val="clear" w:color="auto" w:fill="auto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10,24</w:t>
            </w:r>
          </w:p>
        </w:tc>
      </w:tr>
      <w:tr w:rsidR="001E51BD" w:rsidRPr="00D676DC" w:rsidTr="001E51BD">
        <w:trPr>
          <w:trHeight w:val="282"/>
        </w:trPr>
        <w:tc>
          <w:tcPr>
            <w:tcW w:w="4140" w:type="dxa"/>
            <w:shd w:val="clear" w:color="auto" w:fill="FBE4D5" w:themeFill="accent2" w:themeFillTint="33"/>
          </w:tcPr>
          <w:p w:rsidR="001E51BD" w:rsidRPr="00D676DC" w:rsidRDefault="001E51BD" w:rsidP="009D5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районы 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1 741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1 461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1E51BD" w:rsidRPr="001E51BD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83,92</w:t>
            </w:r>
          </w:p>
        </w:tc>
      </w:tr>
      <w:tr w:rsidR="001E51BD" w:rsidRPr="00D676DC" w:rsidTr="001E51BD">
        <w:trPr>
          <w:trHeight w:val="271"/>
        </w:trPr>
        <w:tc>
          <w:tcPr>
            <w:tcW w:w="4140" w:type="dxa"/>
            <w:shd w:val="clear" w:color="auto" w:fill="FBE4D5" w:themeFill="accent2" w:themeFillTint="33"/>
          </w:tcPr>
          <w:p w:rsidR="001E51BD" w:rsidRPr="00D676DC" w:rsidRDefault="001E51BD" w:rsidP="009D5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Городские округа 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598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569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1E51BD" w:rsidRPr="001E51BD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95,15</w:t>
            </w:r>
          </w:p>
        </w:tc>
      </w:tr>
      <w:tr w:rsidR="001E51BD" w:rsidRPr="00D676DC" w:rsidTr="001E51BD">
        <w:trPr>
          <w:trHeight w:val="282"/>
        </w:trPr>
        <w:tc>
          <w:tcPr>
            <w:tcW w:w="4140" w:type="dxa"/>
          </w:tcPr>
          <w:p w:rsidR="001E51BD" w:rsidRPr="00D676DC" w:rsidRDefault="001E51BD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Городские округа с внутригородским делением </w:t>
            </w:r>
          </w:p>
        </w:tc>
        <w:tc>
          <w:tcPr>
            <w:tcW w:w="1276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100,00</w:t>
            </w:r>
          </w:p>
        </w:tc>
      </w:tr>
      <w:tr w:rsidR="001E51BD" w:rsidRPr="00D676DC" w:rsidTr="001E51BD">
        <w:trPr>
          <w:trHeight w:val="282"/>
        </w:trPr>
        <w:tc>
          <w:tcPr>
            <w:tcW w:w="4140" w:type="dxa"/>
          </w:tcPr>
          <w:p w:rsidR="001E51BD" w:rsidRPr="00D676DC" w:rsidRDefault="001E51BD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 xml:space="preserve">Внутригородские территории города федерального значения </w:t>
            </w:r>
          </w:p>
        </w:tc>
        <w:tc>
          <w:tcPr>
            <w:tcW w:w="1276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267</w:t>
            </w:r>
          </w:p>
        </w:tc>
        <w:tc>
          <w:tcPr>
            <w:tcW w:w="1559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0,75</w:t>
            </w:r>
          </w:p>
        </w:tc>
      </w:tr>
      <w:tr w:rsidR="001E51BD" w:rsidRPr="00D676DC" w:rsidTr="001E51BD">
        <w:trPr>
          <w:trHeight w:val="282"/>
        </w:trPr>
        <w:tc>
          <w:tcPr>
            <w:tcW w:w="4140" w:type="dxa"/>
          </w:tcPr>
          <w:p w:rsidR="001E51BD" w:rsidRPr="00D676DC" w:rsidRDefault="001E51BD" w:rsidP="009D5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Городские поселения</w:t>
            </w:r>
          </w:p>
        </w:tc>
        <w:tc>
          <w:tcPr>
            <w:tcW w:w="1276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1 455</w:t>
            </w:r>
          </w:p>
        </w:tc>
        <w:tc>
          <w:tcPr>
            <w:tcW w:w="1559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2126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4,88</w:t>
            </w:r>
          </w:p>
        </w:tc>
      </w:tr>
      <w:tr w:rsidR="001E51BD" w:rsidRPr="00D676DC" w:rsidTr="001E51BD">
        <w:trPr>
          <w:trHeight w:val="159"/>
        </w:trPr>
        <w:tc>
          <w:tcPr>
            <w:tcW w:w="4140" w:type="dxa"/>
          </w:tcPr>
          <w:p w:rsidR="001E51BD" w:rsidRPr="00D676DC" w:rsidRDefault="001E51BD" w:rsidP="009D5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Сельские поселения</w:t>
            </w:r>
          </w:p>
        </w:tc>
        <w:tc>
          <w:tcPr>
            <w:tcW w:w="1276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17 565</w:t>
            </w:r>
          </w:p>
        </w:tc>
        <w:tc>
          <w:tcPr>
            <w:tcW w:w="1559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109</w:t>
            </w:r>
          </w:p>
        </w:tc>
        <w:tc>
          <w:tcPr>
            <w:tcW w:w="2126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0,62</w:t>
            </w:r>
          </w:p>
        </w:tc>
      </w:tr>
      <w:tr w:rsidR="001E51BD" w:rsidRPr="00D676DC" w:rsidTr="001E51BD">
        <w:trPr>
          <w:trHeight w:val="253"/>
        </w:trPr>
        <w:tc>
          <w:tcPr>
            <w:tcW w:w="4140" w:type="dxa"/>
          </w:tcPr>
          <w:p w:rsidR="001E51BD" w:rsidRPr="00D676DC" w:rsidRDefault="001E51BD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Внутригородские районы</w:t>
            </w:r>
          </w:p>
        </w:tc>
        <w:tc>
          <w:tcPr>
            <w:tcW w:w="1276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9D5660" w:rsidRPr="00D676DC" w:rsidRDefault="009D5660" w:rsidP="009D5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660" w:rsidRPr="00D676DC" w:rsidRDefault="009D5660" w:rsidP="009D5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Муниципальные КСО созданы во всех городских округах с внутригородским делением. Значительная доля органов внешнего финансового контроля сформирована </w:t>
      </w:r>
      <w:r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городских округах (95,15%)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районах (83,92%).</w:t>
      </w:r>
    </w:p>
    <w:p w:rsidR="009D5660" w:rsidRPr="00D676DC" w:rsidRDefault="009D5660" w:rsidP="009D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Низкий уровень созданных МКСО во внутригородских территориях городов федерального значения Санкт-Петербурга, Севастополя и Москвы (0,75%) полностью компенсирован передачей ими (265 МО) полномочий по внешнему финансовому контролю на уровень субъекта на основании части 12 статьи 3 Федерального закона №6-ФЗ. </w:t>
      </w:r>
    </w:p>
    <w:p w:rsidR="009D5660" w:rsidRPr="00D676DC" w:rsidRDefault="009D5660" w:rsidP="009D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Незначительная доля МКСО в городских (4,88%) и сельских (0,62%) поселениях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определенной степени </w:t>
      </w:r>
      <w:r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обусловлена возможностью передачи полномочий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внешнего финансового контроля </w:t>
      </w:r>
      <w:r w:rsidRPr="00032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уровень муниципальных районов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11 статьи 3 Федерального закона №6-ФЗ.</w:t>
      </w:r>
    </w:p>
    <w:p w:rsidR="009D5660" w:rsidRPr="00D676DC" w:rsidRDefault="009D5660" w:rsidP="009D56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заключенных соглашениях между представительными органами поселений и муниципального района о передаче полномочий показывают, что:</w:t>
      </w:r>
    </w:p>
    <w:p w:rsidR="009D5660" w:rsidRPr="00D676DC" w:rsidRDefault="009D5660" w:rsidP="009D56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01.01.2019 заключено 13527 соглашений, или 71,8 % от числа городских и сельских поселений РФ, не имеющих КСО (18840 ед.).</w:t>
      </w:r>
    </w:p>
    <w:p w:rsidR="009D5660" w:rsidRPr="00D676DC" w:rsidRDefault="009D5660" w:rsidP="009D5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возможность передачи полномочий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иной уровень при отсутствии органов внешнего финансового контроля </w:t>
      </w:r>
      <w:r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использована в 5243, или в 27,6 % городских и сельских поселениях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3E4E" w:rsidRPr="00D676DC" w:rsidRDefault="00AC3E4E" w:rsidP="009D5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097" w:rsidRDefault="009D5660" w:rsidP="009D5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Российской Федерации </w:t>
      </w:r>
      <w:r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01.01.2019 </w:t>
      </w:r>
      <w:r w:rsidRPr="00B100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внешним финансовым контролем не охвачены 5548 муниципальных образований (25,6%)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B100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0097" w:rsidRDefault="009D5660" w:rsidP="009D5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255 муниципальных районов (14,6%),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097" w:rsidRDefault="009D5660" w:rsidP="009D5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городских округов (4,2%)</w:t>
      </w:r>
      <w:r w:rsidR="00B100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0097" w:rsidRDefault="00B10097" w:rsidP="00B100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5243 поселения (27,6%).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097" w:rsidRDefault="00B10097" w:rsidP="00B100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660" w:rsidRPr="00D676DC" w:rsidRDefault="009D5660" w:rsidP="009D5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по субъектам, имеющим более 90% муниципальных образований, в которых не организован внешний финансовый контроль,</w:t>
      </w:r>
      <w:r w:rsidR="0072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таблице 2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5660" w:rsidRPr="00D676DC" w:rsidRDefault="00724452" w:rsidP="009D566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W w:w="98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13"/>
        <w:gridCol w:w="3498"/>
        <w:gridCol w:w="992"/>
        <w:gridCol w:w="1134"/>
        <w:gridCol w:w="1560"/>
        <w:gridCol w:w="1153"/>
        <w:gridCol w:w="966"/>
      </w:tblGrid>
      <w:tr w:rsidR="00D676DC" w:rsidRPr="00D676DC" w:rsidTr="001E51BD">
        <w:trPr>
          <w:trHeight w:val="333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 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Кол-во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Создано МКСО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Передано полномочий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 без внешнего </w:t>
            </w:r>
            <w:proofErr w:type="spellStart"/>
            <w:r w:rsidRPr="00D676DC">
              <w:rPr>
                <w:rFonts w:ascii="Times New Roman" w:eastAsia="Times New Roman" w:hAnsi="Times New Roman" w:cs="Times New Roman"/>
                <w:b/>
                <w:lang w:eastAsia="ru-RU"/>
              </w:rPr>
              <w:t>фин.контроля</w:t>
            </w:r>
            <w:proofErr w:type="spellEnd"/>
          </w:p>
        </w:tc>
      </w:tr>
      <w:tr w:rsidR="00D676DC" w:rsidRPr="00D676DC" w:rsidTr="001E51BD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660" w:rsidRPr="00D676DC" w:rsidRDefault="009D5660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660" w:rsidRPr="00D676DC" w:rsidRDefault="009D5660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660" w:rsidRPr="00D676DC" w:rsidRDefault="009D5660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660" w:rsidRPr="00D676DC" w:rsidRDefault="009D5660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660" w:rsidRPr="00D676DC" w:rsidRDefault="009D5660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доля, %</w:t>
            </w:r>
          </w:p>
        </w:tc>
      </w:tr>
      <w:tr w:rsidR="00D676DC" w:rsidRPr="00D676DC" w:rsidTr="001E51BD">
        <w:trPr>
          <w:trHeight w:val="22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60" w:rsidRPr="00D676DC" w:rsidRDefault="009D5660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Республика Марий Э</w:t>
            </w:r>
            <w:r w:rsidRPr="00D676DC">
              <w:rPr>
                <w:rFonts w:ascii="Times New Roman" w:eastAsia="Times New Roman" w:hAnsi="Times New Roman" w:cs="Cambria Math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D676DC" w:rsidRPr="00D676DC" w:rsidTr="001E51B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60" w:rsidRPr="00D676DC" w:rsidRDefault="009D5660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Республика Мордови</w:t>
            </w:r>
            <w:r w:rsidRPr="00D676DC">
              <w:rPr>
                <w:rFonts w:ascii="Times New Roman" w:eastAsia="Times New Roman" w:hAnsi="Times New Roman" w:cs="Cambria Math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99,71</w:t>
            </w:r>
          </w:p>
        </w:tc>
      </w:tr>
      <w:tr w:rsidR="00D676DC" w:rsidRPr="00D676DC" w:rsidTr="001E51B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60" w:rsidRPr="00D676DC" w:rsidRDefault="009D5660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Республика Башкортоста</w:t>
            </w:r>
            <w:r w:rsidRPr="00D676DC">
              <w:rPr>
                <w:rFonts w:ascii="Times New Roman" w:eastAsia="Times New Roman" w:hAnsi="Times New Roman" w:cs="Cambria Math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889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99,33</w:t>
            </w:r>
          </w:p>
        </w:tc>
      </w:tr>
      <w:tr w:rsidR="00D676DC" w:rsidRPr="00D676DC" w:rsidTr="001E51B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60" w:rsidRPr="00D676DC" w:rsidRDefault="009D5660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Алтайский кра</w:t>
            </w:r>
            <w:r w:rsidRPr="00D676DC">
              <w:rPr>
                <w:rFonts w:ascii="Times New Roman" w:eastAsia="Times New Roman" w:hAnsi="Times New Roman" w:cs="Cambria Math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94,85</w:t>
            </w:r>
          </w:p>
        </w:tc>
      </w:tr>
      <w:tr w:rsidR="00D676DC" w:rsidRPr="00D676DC" w:rsidTr="001E51B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60" w:rsidRPr="00D676DC" w:rsidRDefault="009D5660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Чеченская Республик</w:t>
            </w:r>
            <w:r w:rsidRPr="00D676DC">
              <w:rPr>
                <w:rFonts w:ascii="Times New Roman" w:eastAsia="Times New Roman" w:hAnsi="Times New Roman" w:cs="Cambria Math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93,19</w:t>
            </w:r>
          </w:p>
        </w:tc>
      </w:tr>
      <w:tr w:rsidR="00D676DC" w:rsidRPr="00D676DC" w:rsidTr="001E51BD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60" w:rsidRPr="00D676DC" w:rsidRDefault="009D5660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Республика Северная Осетия -</w:t>
            </w:r>
            <w:r w:rsidRPr="00D676DC">
              <w:rPr>
                <w:rFonts w:ascii="Times New Roman" w:eastAsia="Times New Roman" w:hAnsi="Times New Roman" w:cs="Cambria Math"/>
                <w:lang w:eastAsia="ru-RU"/>
              </w:rPr>
              <w:t xml:space="preserve"> Алания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91,30</w:t>
            </w:r>
          </w:p>
        </w:tc>
      </w:tr>
      <w:tr w:rsidR="00D676DC" w:rsidRPr="00D676DC" w:rsidTr="001E51B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60" w:rsidRPr="00D676DC" w:rsidRDefault="009D5660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Омская област</w:t>
            </w:r>
            <w:r w:rsidRPr="00D676DC">
              <w:rPr>
                <w:rFonts w:ascii="Times New Roman" w:eastAsia="Times New Roman" w:hAnsi="Times New Roman" w:cs="Cambria Math"/>
                <w:lang w:eastAsia="ru-RU"/>
              </w:rPr>
              <w:t>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91,27</w:t>
            </w:r>
          </w:p>
        </w:tc>
      </w:tr>
      <w:tr w:rsidR="00D676DC" w:rsidRPr="00D676DC" w:rsidTr="001E51B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60" w:rsidRPr="00D676DC" w:rsidRDefault="009D5660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Курганская област</w:t>
            </w:r>
            <w:r w:rsidRPr="00D676DC">
              <w:rPr>
                <w:rFonts w:ascii="Times New Roman" w:eastAsia="Times New Roman" w:hAnsi="Times New Roman" w:cs="Cambria Math"/>
                <w:lang w:eastAsia="ru-RU"/>
              </w:rPr>
              <w:t>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60" w:rsidRPr="00D676DC" w:rsidRDefault="009D5660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90,15</w:t>
            </w:r>
          </w:p>
        </w:tc>
      </w:tr>
    </w:tbl>
    <w:p w:rsidR="009D5660" w:rsidRPr="00D676DC" w:rsidRDefault="00B10097" w:rsidP="009D56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9D5660" w:rsidRPr="00D67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 субъектах Российской Федерации (Республики Марий Эл, Мордовия, Башкортостан, Северная Осетия – Алания, Карелия, Чеченская Республика, Алтайский и Камчатский края, Омская, Курганская, </w:t>
      </w:r>
      <w:r w:rsidR="009D5660" w:rsidRPr="00D676D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Пензенская и Ростовская области, Чукотский автономный округ) более 50% муниципальных образований находятся вне поля зрения внешнего финансового контроля. </w:t>
      </w:r>
    </w:p>
    <w:p w:rsidR="009D5660" w:rsidRPr="00D676DC" w:rsidRDefault="009D5660" w:rsidP="009D56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Вместе с тем, в 32 субъектах России имеет место 100-ный % охват муниципальных образований внешним финансовым контролем путем создания КСО, либо через заключение соглашений о передаче полномочий, это: </w:t>
      </w:r>
    </w:p>
    <w:p w:rsidR="009D5660" w:rsidRPr="00D676DC" w:rsidRDefault="009D5660" w:rsidP="009D56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Воронежская, Липецкая, Смоленская, Тамбовская, Ярославская, Волгоградская, Вологодская, Новгородская, Магаданская, Сахалинская, Новосибирская, Томская, Свердловская, Тюменская, Кировская, Ульяновская, Еврейская автономная области;</w:t>
      </w:r>
    </w:p>
    <w:p w:rsidR="009D5660" w:rsidRPr="00D676DC" w:rsidRDefault="009D5660" w:rsidP="009D56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Республики Калмыкия, Алтай, Тыва, Чувашская Республика – Чувашия, Ингушетия, Карачаево-Черкесская;</w:t>
      </w:r>
    </w:p>
    <w:p w:rsidR="009D5660" w:rsidRPr="00D676DC" w:rsidRDefault="009D5660" w:rsidP="009D56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Ненецкий, Ханты-Мансийский, Ямало-Ненецкий автономный округа;</w:t>
      </w:r>
    </w:p>
    <w:p w:rsidR="009D5660" w:rsidRPr="00D676DC" w:rsidRDefault="009D5660" w:rsidP="009D56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Краснодарский, Ставропольский, Хабаровский края;</w:t>
      </w:r>
    </w:p>
    <w:p w:rsidR="009D5660" w:rsidRPr="00D676DC" w:rsidRDefault="009D5660" w:rsidP="009D56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города федерального значения Москва, Санкт-Петербург, Севастополь.</w:t>
      </w:r>
    </w:p>
    <w:p w:rsidR="009D5660" w:rsidRPr="00D676DC" w:rsidRDefault="00B10097" w:rsidP="009D56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5660"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тсутствие КСО муниципальных районов</w:t>
      </w:r>
      <w:r w:rsidR="009D5660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Республиках Башкортостан, Марий Эл, Мордовия и Чеченской </w:t>
      </w:r>
      <w:r w:rsidR="009D5660" w:rsidRPr="00B10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</w:t>
      </w:r>
      <w:r w:rsidR="009D5660"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недавнего времени делало невозможным передачу полномочий для </w:t>
      </w:r>
      <w:r w:rsidR="009D5660" w:rsidRPr="00B1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1490 </w:t>
      </w:r>
      <w:r w:rsidR="009D5660"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городских и сельских поселений </w:t>
      </w:r>
      <w:r w:rsidR="009D5660" w:rsidRPr="00B100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субъектов РФ</w:t>
      </w:r>
      <w:r w:rsidR="009D5660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Внесение изменений в часть 12 статьи 3 Федерального закона №6-ФЗ (</w:t>
      </w:r>
      <w:r w:rsidR="009D5660"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Федеральным законом от 27.12.2018 №566-ФЗ) предоставило право</w:t>
      </w:r>
      <w:r w:rsidR="009D5660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представительным органам муниципальных образований </w:t>
      </w:r>
      <w:r w:rsidR="009D5660" w:rsidRPr="00D6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заключать соглашения с КСО субъектов РФ о передаче им полномочий </w:t>
      </w:r>
      <w:r w:rsidR="009D5660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внешнего финансового контроля.</w:t>
      </w:r>
    </w:p>
    <w:p w:rsidR="00897D12" w:rsidRDefault="00897D12" w:rsidP="009D56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452" w:rsidRPr="00D676DC" w:rsidRDefault="00724452" w:rsidP="007244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676DC">
        <w:rPr>
          <w:rFonts w:ascii="Times New Roman" w:hAnsi="Times New Roman"/>
          <w:sz w:val="28"/>
          <w:szCs w:val="28"/>
        </w:rPr>
        <w:t xml:space="preserve">Значение общей средней штатной и общей средней фактической численности сотрудников КСО МО остается неизменным на протяжении ряда лет и 2018 год не стал исключением: </w:t>
      </w:r>
      <w:r w:rsidRPr="00D676DC">
        <w:rPr>
          <w:rFonts w:ascii="Times New Roman" w:hAnsi="Times New Roman"/>
          <w:b/>
          <w:sz w:val="28"/>
          <w:szCs w:val="28"/>
        </w:rPr>
        <w:t>средняя штатная численность</w:t>
      </w:r>
      <w:r w:rsidRPr="00D676DC">
        <w:rPr>
          <w:rFonts w:ascii="Times New Roman" w:hAnsi="Times New Roman"/>
          <w:sz w:val="28"/>
          <w:szCs w:val="28"/>
        </w:rPr>
        <w:t xml:space="preserve"> соответствует </w:t>
      </w:r>
      <w:r w:rsidRPr="00D676DC">
        <w:rPr>
          <w:rFonts w:ascii="Times New Roman" w:hAnsi="Times New Roman"/>
          <w:b/>
          <w:sz w:val="28"/>
          <w:szCs w:val="28"/>
        </w:rPr>
        <w:t>3,1</w:t>
      </w:r>
      <w:r w:rsidR="00D349E1">
        <w:rPr>
          <w:rFonts w:ascii="Times New Roman" w:hAnsi="Times New Roman"/>
          <w:sz w:val="28"/>
          <w:szCs w:val="28"/>
        </w:rPr>
        <w:t xml:space="preserve"> ед.</w:t>
      </w:r>
      <w:r w:rsidRPr="00D676DC">
        <w:rPr>
          <w:rFonts w:ascii="Times New Roman" w:hAnsi="Times New Roman"/>
          <w:sz w:val="28"/>
          <w:szCs w:val="28"/>
        </w:rPr>
        <w:t xml:space="preserve">, </w:t>
      </w:r>
      <w:r w:rsidRPr="00D676DC">
        <w:rPr>
          <w:rFonts w:ascii="Times New Roman" w:hAnsi="Times New Roman"/>
          <w:b/>
          <w:sz w:val="28"/>
          <w:szCs w:val="28"/>
        </w:rPr>
        <w:t>средняя фактическая - 2,8</w:t>
      </w:r>
      <w:r w:rsidR="00D349E1">
        <w:rPr>
          <w:rFonts w:ascii="Times New Roman" w:hAnsi="Times New Roman"/>
          <w:sz w:val="28"/>
          <w:szCs w:val="28"/>
        </w:rPr>
        <w:t xml:space="preserve"> ед. (см. таблицу 3)</w:t>
      </w:r>
    </w:p>
    <w:p w:rsidR="00D349E1" w:rsidRPr="00D676DC" w:rsidRDefault="00D349E1" w:rsidP="00D349E1">
      <w:pPr>
        <w:spacing w:after="0" w:line="240" w:lineRule="auto"/>
        <w:ind w:firstLine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Таблица №3</w:t>
      </w:r>
    </w:p>
    <w:tbl>
      <w:tblPr>
        <w:tblW w:w="940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748"/>
        <w:gridCol w:w="1556"/>
        <w:gridCol w:w="1560"/>
        <w:gridCol w:w="1275"/>
        <w:gridCol w:w="1276"/>
        <w:gridCol w:w="992"/>
        <w:gridCol w:w="993"/>
      </w:tblGrid>
      <w:tr w:rsidR="00D676DC" w:rsidRPr="00D676DC" w:rsidTr="001E51BD">
        <w:trPr>
          <w:trHeight w:val="330"/>
        </w:trPr>
        <w:tc>
          <w:tcPr>
            <w:tcW w:w="9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97D12" w:rsidRPr="00D676DC" w:rsidRDefault="00897D12" w:rsidP="000365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76D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Кадровое обеспечение КСО МО субъектов РФ по состоянию на 01.01.2019 </w:t>
            </w:r>
          </w:p>
        </w:tc>
      </w:tr>
      <w:tr w:rsidR="00605348" w:rsidRPr="00D676DC" w:rsidTr="001E51BD">
        <w:trPr>
          <w:trHeight w:val="1920"/>
        </w:trPr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05348" w:rsidRPr="00D676DC" w:rsidRDefault="00605348" w:rsidP="000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федерального округа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05348" w:rsidRPr="00D676DC" w:rsidRDefault="00605348" w:rsidP="000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hAnsi="Times New Roman"/>
                <w:sz w:val="18"/>
                <w:szCs w:val="18"/>
                <w:lang w:eastAsia="ru-RU"/>
              </w:rPr>
              <w:t>Кол-во КСО МО, созданных, ед.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05348" w:rsidRPr="00D676DC" w:rsidRDefault="00605348" w:rsidP="000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hAnsi="Times New Roman"/>
                <w:sz w:val="18"/>
                <w:szCs w:val="18"/>
                <w:lang w:eastAsia="ru-RU"/>
              </w:rPr>
              <w:t>Штатная численность КСО МО, 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05348" w:rsidRPr="00D676DC" w:rsidRDefault="00605348" w:rsidP="000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51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Средняя </w:t>
            </w:r>
            <w:r w:rsidRPr="001E51B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штатная</w:t>
            </w:r>
            <w:r w:rsidRPr="00D676D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численность,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05348" w:rsidRPr="00D676DC" w:rsidRDefault="00605348" w:rsidP="000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Фактическая численность КСО МО,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05348" w:rsidRPr="00D676DC" w:rsidRDefault="00605348" w:rsidP="000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51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Средняя </w:t>
            </w:r>
            <w:r w:rsidRPr="001E51B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фактическая </w:t>
            </w:r>
            <w:r w:rsidRPr="00D676DC">
              <w:rPr>
                <w:rFonts w:ascii="Times New Roman" w:hAnsi="Times New Roman"/>
                <w:sz w:val="18"/>
                <w:szCs w:val="18"/>
                <w:lang w:eastAsia="ru-RU"/>
              </w:rPr>
              <w:t>численность,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05348" w:rsidRPr="00D676DC" w:rsidRDefault="00605348" w:rsidP="000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hAnsi="Times New Roman"/>
                <w:sz w:val="18"/>
                <w:szCs w:val="18"/>
                <w:lang w:eastAsia="ru-RU"/>
              </w:rPr>
              <w:t>Укомплектованность КСО МО кадрами, %</w:t>
            </w:r>
          </w:p>
        </w:tc>
      </w:tr>
      <w:tr w:rsidR="00605348" w:rsidRPr="00D676DC" w:rsidTr="00B53BAB">
        <w:trPr>
          <w:trHeight w:val="33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348" w:rsidRPr="00D676DC" w:rsidRDefault="00605348" w:rsidP="00036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Центральный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90,4</w:t>
            </w:r>
          </w:p>
        </w:tc>
      </w:tr>
      <w:tr w:rsidR="00605348" w:rsidRPr="00D676DC" w:rsidTr="00AF2EEC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348" w:rsidRPr="00D676DC" w:rsidRDefault="00605348" w:rsidP="00036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Северо-Западный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605348" w:rsidRPr="00D676DC" w:rsidTr="00C241F5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348" w:rsidRPr="00D676DC" w:rsidRDefault="00605348" w:rsidP="00036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Южный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605348" w:rsidRPr="00D676DC" w:rsidTr="002C0BB7">
        <w:trPr>
          <w:trHeight w:val="585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348" w:rsidRPr="00D676DC" w:rsidRDefault="00605348" w:rsidP="00036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Северо-Кавказский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605348" w:rsidRPr="00D676DC" w:rsidTr="00BE4361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348" w:rsidRPr="00D676DC" w:rsidRDefault="00605348" w:rsidP="00036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Приволжский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05348" w:rsidRPr="00D676DC" w:rsidTr="002D3B12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348" w:rsidRPr="00D676DC" w:rsidRDefault="00605348" w:rsidP="00036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Уральский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605348" w:rsidRPr="00D676DC" w:rsidTr="003407CD">
        <w:trPr>
          <w:trHeight w:val="285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348" w:rsidRPr="00D676DC" w:rsidRDefault="00605348" w:rsidP="00036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Сибирский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605348" w:rsidRPr="00D676DC" w:rsidTr="00D6490A">
        <w:trPr>
          <w:trHeight w:val="285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348" w:rsidRPr="00D676DC" w:rsidRDefault="00605348" w:rsidP="00036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Дальневосточный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348" w:rsidRPr="00D676DC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605348" w:rsidRPr="00303359" w:rsidTr="001E51BD">
        <w:trPr>
          <w:trHeight w:val="255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605348" w:rsidRPr="00303359" w:rsidRDefault="00605348" w:rsidP="000365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605348" w:rsidRPr="00303359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605348" w:rsidRPr="00303359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605348" w:rsidRPr="00303359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033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bottom"/>
          </w:tcPr>
          <w:p w:rsidR="00605348" w:rsidRPr="00303359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605348" w:rsidRPr="00303359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033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605348" w:rsidRPr="00303359" w:rsidRDefault="00605348" w:rsidP="000365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91,3</w:t>
            </w:r>
          </w:p>
        </w:tc>
      </w:tr>
    </w:tbl>
    <w:p w:rsidR="00897D12" w:rsidRPr="00303359" w:rsidRDefault="00897D12" w:rsidP="00897D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B75E6" w:rsidRPr="00D676DC" w:rsidRDefault="007B75E6" w:rsidP="007B75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676DC">
        <w:rPr>
          <w:rFonts w:ascii="Times New Roman" w:hAnsi="Times New Roman"/>
          <w:sz w:val="28"/>
          <w:szCs w:val="28"/>
        </w:rPr>
        <w:t xml:space="preserve">Вместе с тем, в целом по Российской Федерации </w:t>
      </w:r>
      <w:r w:rsidRPr="00B10097">
        <w:rPr>
          <w:rFonts w:ascii="Times New Roman" w:hAnsi="Times New Roman"/>
          <w:b/>
          <w:sz w:val="28"/>
          <w:szCs w:val="28"/>
          <w:u w:val="single"/>
        </w:rPr>
        <w:t>количество КСО МО, штатная численность которых ниже среднего уровня составляет 71,7 %</w:t>
      </w:r>
      <w:r w:rsidRPr="00D676DC">
        <w:rPr>
          <w:rFonts w:ascii="Times New Roman" w:hAnsi="Times New Roman"/>
          <w:b/>
          <w:sz w:val="28"/>
          <w:szCs w:val="28"/>
        </w:rPr>
        <w:t xml:space="preserve"> </w:t>
      </w:r>
      <w:r w:rsidRPr="00D676DC">
        <w:rPr>
          <w:rFonts w:ascii="Times New Roman" w:hAnsi="Times New Roman"/>
          <w:b/>
          <w:sz w:val="28"/>
          <w:szCs w:val="28"/>
        </w:rPr>
        <w:lastRenderedPageBreak/>
        <w:t>(1590</w:t>
      </w:r>
      <w:r w:rsidRPr="00D676DC">
        <w:rPr>
          <w:rFonts w:ascii="Times New Roman" w:hAnsi="Times New Roman"/>
          <w:sz w:val="28"/>
          <w:szCs w:val="28"/>
        </w:rPr>
        <w:t xml:space="preserve"> ед.), при этом </w:t>
      </w:r>
      <w:r w:rsidRPr="001E51BD">
        <w:rPr>
          <w:rFonts w:ascii="Times New Roman" w:hAnsi="Times New Roman"/>
          <w:b/>
          <w:sz w:val="28"/>
          <w:szCs w:val="28"/>
          <w:u w:val="single"/>
        </w:rPr>
        <w:t xml:space="preserve">четверть </w:t>
      </w:r>
      <w:r w:rsidRPr="00D676DC">
        <w:rPr>
          <w:rFonts w:ascii="Times New Roman" w:hAnsi="Times New Roman"/>
          <w:b/>
          <w:sz w:val="28"/>
          <w:szCs w:val="28"/>
        </w:rPr>
        <w:t>(566 ед.)</w:t>
      </w:r>
      <w:r w:rsidRPr="00D676DC">
        <w:rPr>
          <w:rFonts w:ascii="Times New Roman" w:hAnsi="Times New Roman"/>
          <w:sz w:val="28"/>
          <w:szCs w:val="28"/>
        </w:rPr>
        <w:t xml:space="preserve"> органов внешнего муниципального контроля </w:t>
      </w:r>
      <w:r w:rsidRPr="00B10097">
        <w:rPr>
          <w:rFonts w:ascii="Times New Roman" w:hAnsi="Times New Roman"/>
          <w:b/>
          <w:sz w:val="28"/>
          <w:szCs w:val="28"/>
          <w:u w:val="single"/>
        </w:rPr>
        <w:t>имеет штат от 0,4 ед. до 1 ед. включительно</w:t>
      </w:r>
      <w:r w:rsidRPr="00D676DC">
        <w:rPr>
          <w:rFonts w:ascii="Times New Roman" w:hAnsi="Times New Roman"/>
          <w:sz w:val="28"/>
          <w:szCs w:val="28"/>
        </w:rPr>
        <w:t xml:space="preserve">, 647 КСО МО - от 1 ед. до 2 ед. и 377 КСО МО - от 2 ед. до 3 ед. включительно. </w:t>
      </w:r>
    </w:p>
    <w:p w:rsidR="007B75E6" w:rsidRPr="00D676DC" w:rsidRDefault="007B75E6" w:rsidP="007B75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676DC">
        <w:rPr>
          <w:rFonts w:ascii="Times New Roman" w:hAnsi="Times New Roman"/>
          <w:sz w:val="28"/>
          <w:szCs w:val="28"/>
        </w:rPr>
        <w:t xml:space="preserve">Численность КСО МО достаточно сильно варьируется в зависимости от типа муниципального образования, в котором создан орган внешнего контроля. Наибольшая штатная численность характерна для КСО городских округов, наименьшая – для КСО городских и сельских поселений. Такая значительная дифференциация по численности работников КСО МО в первую очередь связана с различными объемами бюджетов. </w:t>
      </w:r>
    </w:p>
    <w:p w:rsidR="006375C2" w:rsidRPr="00D676DC" w:rsidRDefault="006375C2" w:rsidP="006375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76DC">
        <w:rPr>
          <w:rFonts w:ascii="Times New Roman" w:eastAsia="Calibri" w:hAnsi="Times New Roman" w:cs="Times New Roman"/>
          <w:sz w:val="20"/>
          <w:szCs w:val="20"/>
        </w:rPr>
        <w:t xml:space="preserve">Так, в КСП городского округа </w:t>
      </w:r>
      <w:proofErr w:type="spellStart"/>
      <w:r w:rsidRPr="00D676DC">
        <w:rPr>
          <w:rFonts w:ascii="Times New Roman" w:eastAsia="Calibri" w:hAnsi="Times New Roman" w:cs="Times New Roman"/>
          <w:sz w:val="20"/>
          <w:szCs w:val="20"/>
        </w:rPr>
        <w:t>г.Воронеж</w:t>
      </w:r>
      <w:proofErr w:type="spellEnd"/>
      <w:r w:rsidRPr="00D676DC">
        <w:rPr>
          <w:rFonts w:ascii="Times New Roman" w:eastAsia="Calibri" w:hAnsi="Times New Roman" w:cs="Times New Roman"/>
          <w:sz w:val="20"/>
          <w:szCs w:val="20"/>
        </w:rPr>
        <w:t xml:space="preserve"> при объеме бюджета 22280,8 млн. рублей штатная численность установлена в количестве 44 ед., КСП Волгограда при объеме подконтрольных средств 21346,8 млн. рублей имеет численность 33 ед.; КСП </w:t>
      </w:r>
      <w:proofErr w:type="spellStart"/>
      <w:r w:rsidRPr="00D676DC">
        <w:rPr>
          <w:rFonts w:ascii="Times New Roman" w:eastAsia="Calibri" w:hAnsi="Times New Roman" w:cs="Times New Roman"/>
          <w:sz w:val="20"/>
          <w:szCs w:val="20"/>
        </w:rPr>
        <w:t>Заларинского</w:t>
      </w:r>
      <w:proofErr w:type="spellEnd"/>
      <w:r w:rsidRPr="00D676DC">
        <w:rPr>
          <w:rFonts w:ascii="Times New Roman" w:eastAsia="Calibri" w:hAnsi="Times New Roman" w:cs="Times New Roman"/>
          <w:sz w:val="20"/>
          <w:szCs w:val="20"/>
        </w:rPr>
        <w:t xml:space="preserve"> городского поселения Иркутской области </w:t>
      </w:r>
      <w:proofErr w:type="gramStart"/>
      <w:r w:rsidRPr="00D676DC">
        <w:rPr>
          <w:rFonts w:ascii="Times New Roman" w:eastAsia="Calibri" w:hAnsi="Times New Roman" w:cs="Times New Roman"/>
          <w:sz w:val="20"/>
          <w:szCs w:val="20"/>
        </w:rPr>
        <w:t>при бюджет</w:t>
      </w:r>
      <w:proofErr w:type="gramEnd"/>
      <w:r w:rsidRPr="00D676DC">
        <w:rPr>
          <w:rFonts w:ascii="Times New Roman" w:eastAsia="Calibri" w:hAnsi="Times New Roman" w:cs="Times New Roman"/>
          <w:sz w:val="20"/>
          <w:szCs w:val="20"/>
        </w:rPr>
        <w:t xml:space="preserve"> 110,8 млн. рублей имеет численность 0,4 ед. и КСО </w:t>
      </w:r>
      <w:proofErr w:type="spellStart"/>
      <w:r w:rsidRPr="00D676DC">
        <w:rPr>
          <w:rFonts w:ascii="Times New Roman" w:eastAsia="Calibri" w:hAnsi="Times New Roman" w:cs="Times New Roman"/>
          <w:sz w:val="20"/>
          <w:szCs w:val="20"/>
        </w:rPr>
        <w:t>Горноключевского</w:t>
      </w:r>
      <w:proofErr w:type="spellEnd"/>
      <w:r w:rsidRPr="00D676DC">
        <w:rPr>
          <w:rFonts w:ascii="Times New Roman" w:eastAsia="Calibri" w:hAnsi="Times New Roman" w:cs="Times New Roman"/>
          <w:sz w:val="20"/>
          <w:szCs w:val="20"/>
        </w:rPr>
        <w:t xml:space="preserve"> городского поселения Приморского края при бюджете 30,2 млн. рублей установлена численность 0,5 ед.</w:t>
      </w:r>
    </w:p>
    <w:p w:rsidR="006375C2" w:rsidRPr="00D676DC" w:rsidRDefault="006375C2" w:rsidP="006375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6DC">
        <w:rPr>
          <w:rFonts w:ascii="Times New Roman" w:eastAsia="Calibri" w:hAnsi="Times New Roman" w:cs="Times New Roman"/>
          <w:sz w:val="28"/>
          <w:szCs w:val="28"/>
        </w:rPr>
        <w:t>Информация о средней штатной и средней фактической численности сотрудников КСО МО по состоянию на 01.01.2019 в разрезе федеральных округов по типам муниципальных образ</w:t>
      </w:r>
      <w:r w:rsidR="00D349E1">
        <w:rPr>
          <w:rFonts w:ascii="Times New Roman" w:eastAsia="Calibri" w:hAnsi="Times New Roman" w:cs="Times New Roman"/>
          <w:sz w:val="28"/>
          <w:szCs w:val="28"/>
        </w:rPr>
        <w:t>ований представлена в таблице №4</w:t>
      </w:r>
      <w:r w:rsidRPr="00D676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75C2" w:rsidRPr="00D676DC" w:rsidRDefault="00D349E1" w:rsidP="006375C2">
      <w:pPr>
        <w:spacing w:after="0" w:line="240" w:lineRule="auto"/>
        <w:ind w:firstLine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№4</w:t>
      </w:r>
    </w:p>
    <w:tbl>
      <w:tblPr>
        <w:tblW w:w="940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748"/>
        <w:gridCol w:w="967"/>
        <w:gridCol w:w="1015"/>
        <w:gridCol w:w="1134"/>
        <w:gridCol w:w="947"/>
        <w:gridCol w:w="1044"/>
        <w:gridCol w:w="826"/>
        <w:gridCol w:w="974"/>
        <w:gridCol w:w="745"/>
      </w:tblGrid>
      <w:tr w:rsidR="00D676DC" w:rsidRPr="00D676DC" w:rsidTr="00681F39">
        <w:trPr>
          <w:trHeight w:val="465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75C2" w:rsidRPr="00D676DC" w:rsidRDefault="006375C2" w:rsidP="0063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D676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федерального округа</w:t>
            </w:r>
          </w:p>
        </w:tc>
        <w:tc>
          <w:tcPr>
            <w:tcW w:w="40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375C2" w:rsidRPr="00D676DC" w:rsidRDefault="006375C2" w:rsidP="0063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Средняя штатная численность</w:t>
            </w:r>
            <w:r w:rsidRPr="00D676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КСО МО, ед.</w:t>
            </w:r>
          </w:p>
        </w:tc>
        <w:tc>
          <w:tcPr>
            <w:tcW w:w="3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375C2" w:rsidRPr="00D676DC" w:rsidRDefault="006375C2" w:rsidP="0063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Средняя фактическая</w:t>
            </w:r>
            <w:r w:rsidRPr="00D676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численность КСО МО, ед.</w:t>
            </w:r>
          </w:p>
        </w:tc>
      </w:tr>
      <w:tr w:rsidR="00D676DC" w:rsidRPr="00D676DC" w:rsidTr="00681F39">
        <w:trPr>
          <w:trHeight w:val="300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75C2" w:rsidRPr="00D676DC" w:rsidRDefault="006375C2" w:rsidP="006375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375C2" w:rsidRPr="00D676DC" w:rsidRDefault="006375C2" w:rsidP="006375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375C2" w:rsidRPr="00D676DC" w:rsidRDefault="006375C2" w:rsidP="006375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76DC" w:rsidRPr="00D676DC" w:rsidTr="00681F39">
        <w:trPr>
          <w:trHeight w:val="1740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75C2" w:rsidRPr="00D676DC" w:rsidRDefault="006375C2" w:rsidP="006375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75C2" w:rsidRPr="00D676DC" w:rsidRDefault="006375C2" w:rsidP="0063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муниципальных районах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75C2" w:rsidRPr="00D676DC" w:rsidRDefault="006375C2" w:rsidP="0063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городских округах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375C2" w:rsidRPr="00D676DC" w:rsidRDefault="006375C2" w:rsidP="0063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городских поселениях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75C2" w:rsidRPr="00D676DC" w:rsidRDefault="006375C2" w:rsidP="0063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сельских поселениях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75C2" w:rsidRPr="00D676DC" w:rsidRDefault="006375C2" w:rsidP="0063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муниципальных районах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75C2" w:rsidRPr="00D676DC" w:rsidRDefault="006375C2" w:rsidP="0063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городских округах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375C2" w:rsidRPr="00D676DC" w:rsidRDefault="006375C2" w:rsidP="0063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городских поселениях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75C2" w:rsidRPr="00D676DC" w:rsidRDefault="006375C2" w:rsidP="0063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сельских поселениях</w:t>
            </w:r>
          </w:p>
        </w:tc>
      </w:tr>
      <w:tr w:rsidR="00D676DC" w:rsidRPr="00D676DC" w:rsidTr="00D676DC">
        <w:trPr>
          <w:trHeight w:val="33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5C2" w:rsidRPr="00D676DC" w:rsidRDefault="006375C2" w:rsidP="00637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Центральный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D676DC" w:rsidRPr="00D676DC" w:rsidTr="00D676DC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5C2" w:rsidRPr="00D676DC" w:rsidRDefault="006375C2" w:rsidP="00637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Северо-Западный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76DC" w:rsidRPr="00D676DC" w:rsidTr="00D676DC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5C2" w:rsidRPr="00D676DC" w:rsidRDefault="006375C2" w:rsidP="00637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Южный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76DC" w:rsidRPr="00D676DC" w:rsidTr="00D676DC">
        <w:trPr>
          <w:trHeight w:val="585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5C2" w:rsidRPr="00D676DC" w:rsidRDefault="006375C2" w:rsidP="00637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Северо-Кавказский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6DC" w:rsidRPr="00D676DC" w:rsidTr="00D676DC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5C2" w:rsidRPr="00D676DC" w:rsidRDefault="006375C2" w:rsidP="00637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Приволжский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76DC" w:rsidRPr="00D676DC" w:rsidTr="00D676DC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5C2" w:rsidRPr="00D676DC" w:rsidRDefault="006375C2" w:rsidP="00637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Уральский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6DC" w:rsidRPr="00D676DC" w:rsidTr="00D676DC">
        <w:trPr>
          <w:trHeight w:val="285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5C2" w:rsidRPr="00D676DC" w:rsidRDefault="006375C2" w:rsidP="00637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Сибирский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D676DC" w:rsidRPr="00D676DC" w:rsidTr="00D676DC">
        <w:trPr>
          <w:trHeight w:val="285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5C2" w:rsidRPr="00D676DC" w:rsidRDefault="006375C2" w:rsidP="00637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Дальневосточный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5C2" w:rsidRPr="00D676DC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76DC" w:rsidRPr="00D676DC" w:rsidTr="00681F39">
        <w:trPr>
          <w:trHeight w:val="383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6375C2" w:rsidRPr="00303359" w:rsidRDefault="006375C2" w:rsidP="00637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6375C2" w:rsidRPr="00303359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6375C2" w:rsidRPr="00303359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6375C2" w:rsidRPr="00303359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6375C2" w:rsidRPr="00303359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6375C2" w:rsidRPr="00303359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6375C2" w:rsidRPr="00303359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6375C2" w:rsidRPr="00303359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6375C2" w:rsidRPr="00303359" w:rsidRDefault="006375C2" w:rsidP="00637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</w:tr>
    </w:tbl>
    <w:p w:rsidR="006375C2" w:rsidRPr="00D676DC" w:rsidRDefault="006375C2" w:rsidP="006375C2">
      <w:pPr>
        <w:spacing w:after="0" w:line="240" w:lineRule="auto"/>
        <w:ind w:firstLine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375C2" w:rsidRPr="00D676DC" w:rsidRDefault="006375C2" w:rsidP="006375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6DC">
        <w:rPr>
          <w:rFonts w:ascii="Times New Roman" w:eastAsia="Calibri" w:hAnsi="Times New Roman" w:cs="Times New Roman"/>
          <w:b/>
          <w:sz w:val="28"/>
          <w:szCs w:val="28"/>
        </w:rPr>
        <w:t>Средняя штатная и средняя фактическая численность</w:t>
      </w:r>
      <w:r w:rsidRPr="00D676DC">
        <w:rPr>
          <w:rFonts w:ascii="Times New Roman" w:eastAsia="Calibri" w:hAnsi="Times New Roman" w:cs="Times New Roman"/>
          <w:sz w:val="28"/>
          <w:szCs w:val="28"/>
        </w:rPr>
        <w:t xml:space="preserve"> КСО МО составила:</w:t>
      </w:r>
    </w:p>
    <w:p w:rsidR="006375C2" w:rsidRPr="00D676DC" w:rsidRDefault="006375C2" w:rsidP="006375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6D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676DC">
        <w:rPr>
          <w:rFonts w:ascii="Times New Roman" w:eastAsia="Calibri" w:hAnsi="Times New Roman" w:cs="Times New Roman"/>
          <w:b/>
          <w:sz w:val="28"/>
          <w:szCs w:val="28"/>
        </w:rPr>
        <w:t>городских округов</w:t>
      </w:r>
      <w:r w:rsidRPr="00D676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6DC">
        <w:rPr>
          <w:rFonts w:ascii="Times New Roman" w:eastAsia="Calibri" w:hAnsi="Times New Roman" w:cs="Times New Roman"/>
          <w:b/>
          <w:sz w:val="28"/>
          <w:szCs w:val="28"/>
        </w:rPr>
        <w:t>5,2</w:t>
      </w:r>
      <w:r w:rsidRPr="00D676DC">
        <w:rPr>
          <w:rFonts w:ascii="Times New Roman" w:eastAsia="Calibri" w:hAnsi="Times New Roman" w:cs="Times New Roman"/>
          <w:sz w:val="28"/>
          <w:szCs w:val="28"/>
        </w:rPr>
        <w:t xml:space="preserve"> единицы и </w:t>
      </w:r>
      <w:r w:rsidRPr="00D676DC">
        <w:rPr>
          <w:rFonts w:ascii="Times New Roman" w:eastAsia="Calibri" w:hAnsi="Times New Roman" w:cs="Times New Roman"/>
          <w:b/>
          <w:sz w:val="28"/>
          <w:szCs w:val="28"/>
        </w:rPr>
        <w:t>4,8</w:t>
      </w:r>
      <w:r w:rsidRPr="00D676DC">
        <w:rPr>
          <w:rFonts w:ascii="Times New Roman" w:eastAsia="Calibri" w:hAnsi="Times New Roman" w:cs="Times New Roman"/>
          <w:sz w:val="28"/>
          <w:szCs w:val="28"/>
        </w:rPr>
        <w:t xml:space="preserve"> единицы соответственно;</w:t>
      </w:r>
    </w:p>
    <w:p w:rsidR="006375C2" w:rsidRPr="00D676DC" w:rsidRDefault="006375C2" w:rsidP="006375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6D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676DC">
        <w:rPr>
          <w:rFonts w:ascii="Times New Roman" w:eastAsia="Calibri" w:hAnsi="Times New Roman" w:cs="Times New Roman"/>
          <w:b/>
          <w:sz w:val="28"/>
          <w:szCs w:val="28"/>
        </w:rPr>
        <w:t>муниципальных районов</w:t>
      </w:r>
      <w:r w:rsidRPr="00D676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6DC">
        <w:rPr>
          <w:rFonts w:ascii="Times New Roman" w:eastAsia="Calibri" w:hAnsi="Times New Roman" w:cs="Times New Roman"/>
          <w:b/>
          <w:sz w:val="28"/>
          <w:szCs w:val="28"/>
        </w:rPr>
        <w:t>2,3</w:t>
      </w:r>
      <w:r w:rsidRPr="00D676DC">
        <w:rPr>
          <w:rFonts w:ascii="Times New Roman" w:eastAsia="Calibri" w:hAnsi="Times New Roman" w:cs="Times New Roman"/>
          <w:sz w:val="28"/>
          <w:szCs w:val="28"/>
        </w:rPr>
        <w:t xml:space="preserve"> единицы и </w:t>
      </w:r>
      <w:r w:rsidRPr="00D676DC">
        <w:rPr>
          <w:rFonts w:ascii="Times New Roman" w:eastAsia="Calibri" w:hAnsi="Times New Roman" w:cs="Times New Roman"/>
          <w:b/>
          <w:sz w:val="28"/>
          <w:szCs w:val="28"/>
        </w:rPr>
        <w:t>2,1</w:t>
      </w:r>
      <w:r w:rsidRPr="00D676DC">
        <w:rPr>
          <w:rFonts w:ascii="Times New Roman" w:eastAsia="Calibri" w:hAnsi="Times New Roman" w:cs="Times New Roman"/>
          <w:sz w:val="28"/>
          <w:szCs w:val="28"/>
        </w:rPr>
        <w:t xml:space="preserve"> единицы соответственно;</w:t>
      </w:r>
    </w:p>
    <w:p w:rsidR="006375C2" w:rsidRPr="00D676DC" w:rsidRDefault="006375C2" w:rsidP="006375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6DC">
        <w:rPr>
          <w:rFonts w:ascii="Times New Roman" w:eastAsia="Calibri" w:hAnsi="Times New Roman" w:cs="Times New Roman"/>
          <w:sz w:val="28"/>
          <w:szCs w:val="28"/>
        </w:rPr>
        <w:t>- городских поселений 1,6 единицы и 1,4 единицы соответственно;</w:t>
      </w:r>
    </w:p>
    <w:p w:rsidR="00897D12" w:rsidRPr="00D676DC" w:rsidRDefault="006375C2" w:rsidP="006375C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6DC">
        <w:rPr>
          <w:rFonts w:ascii="Times New Roman" w:eastAsia="Calibri" w:hAnsi="Times New Roman" w:cs="Times New Roman"/>
          <w:sz w:val="28"/>
          <w:szCs w:val="28"/>
        </w:rPr>
        <w:t>- сельских поселений 1,3 единицы и 1,2 единицы соответственно.</w:t>
      </w:r>
    </w:p>
    <w:p w:rsidR="006375C2" w:rsidRPr="00B10097" w:rsidRDefault="006375C2" w:rsidP="006375C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0097">
        <w:rPr>
          <w:rFonts w:ascii="Times New Roman" w:eastAsia="Calibri" w:hAnsi="Times New Roman" w:cs="Times New Roman"/>
          <w:sz w:val="20"/>
          <w:szCs w:val="20"/>
        </w:rPr>
        <w:t xml:space="preserve">Значительно выше среднего сложились показатели в отношении КСО городских округов Южного федерального округа (9,1 ед. по штату и 8,5 ед. по факту) и муниципальных районов Уральского федерального округа (3,8 ед. по штату и 3,6 ед. по факту). При этом средняя численность КСО городских округов </w:t>
      </w:r>
      <w:r w:rsidRPr="00B1009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Дальневосточного округа составила 3,7 ед. по штату и 3,3 ед. по </w:t>
      </w:r>
      <w:proofErr w:type="gramStart"/>
      <w:r w:rsidRPr="00B10097">
        <w:rPr>
          <w:rFonts w:ascii="Times New Roman" w:eastAsia="Calibri" w:hAnsi="Times New Roman" w:cs="Times New Roman"/>
          <w:sz w:val="20"/>
          <w:szCs w:val="20"/>
        </w:rPr>
        <w:t>факту;  муниципальных</w:t>
      </w:r>
      <w:proofErr w:type="gramEnd"/>
      <w:r w:rsidRPr="00B10097">
        <w:rPr>
          <w:rFonts w:ascii="Times New Roman" w:eastAsia="Calibri" w:hAnsi="Times New Roman" w:cs="Times New Roman"/>
          <w:sz w:val="20"/>
          <w:szCs w:val="20"/>
        </w:rPr>
        <w:t xml:space="preserve"> районов Приволжского округа - 1,9 ед. по штату и 1,7 ед. по факту.</w:t>
      </w:r>
    </w:p>
    <w:p w:rsidR="0003650C" w:rsidRPr="00B10097" w:rsidRDefault="0003650C" w:rsidP="006375C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650C" w:rsidRPr="00D676DC" w:rsidRDefault="0003650C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6DC">
        <w:rPr>
          <w:rFonts w:ascii="Times New Roman" w:eastAsia="Calibri" w:hAnsi="Times New Roman" w:cs="Times New Roman"/>
          <w:sz w:val="28"/>
          <w:szCs w:val="28"/>
        </w:rPr>
        <w:t xml:space="preserve">Анализ объема бюджета по расходам муниципальных образований за 2018 год показал, что </w:t>
      </w:r>
      <w:r w:rsidRPr="00D676DC">
        <w:rPr>
          <w:rFonts w:ascii="Times New Roman" w:eastAsia="Calibri" w:hAnsi="Times New Roman" w:cs="Times New Roman"/>
          <w:b/>
          <w:sz w:val="28"/>
          <w:szCs w:val="28"/>
        </w:rPr>
        <w:t>на одного сотрудника КСО МО в среднем потенциально пришлось 628,4 млн. рублей подконтрольных бюджетных средств</w:t>
      </w:r>
      <w:r w:rsidRPr="00D676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676DC">
        <w:rPr>
          <w:rFonts w:ascii="Times New Roman" w:eastAsia="Calibri" w:hAnsi="Times New Roman" w:cs="Times New Roman"/>
          <w:b/>
          <w:sz w:val="28"/>
          <w:szCs w:val="28"/>
        </w:rPr>
        <w:t>Объем проверенных средств</w:t>
      </w:r>
      <w:r w:rsidRPr="00D676DC">
        <w:rPr>
          <w:rFonts w:ascii="Times New Roman" w:eastAsia="Calibri" w:hAnsi="Times New Roman" w:cs="Times New Roman"/>
          <w:sz w:val="28"/>
          <w:szCs w:val="28"/>
        </w:rPr>
        <w:t xml:space="preserve"> на одного сотрудника составил </w:t>
      </w:r>
      <w:r w:rsidRPr="00D676DC">
        <w:rPr>
          <w:rFonts w:ascii="Times New Roman" w:eastAsia="Calibri" w:hAnsi="Times New Roman" w:cs="Times New Roman"/>
          <w:b/>
          <w:sz w:val="28"/>
          <w:szCs w:val="28"/>
        </w:rPr>
        <w:t>301,1 млн. рублей</w:t>
      </w:r>
      <w:r w:rsidRPr="00D676DC">
        <w:rPr>
          <w:rFonts w:ascii="Times New Roman" w:eastAsia="Calibri" w:hAnsi="Times New Roman" w:cs="Times New Roman"/>
          <w:sz w:val="28"/>
          <w:szCs w:val="28"/>
        </w:rPr>
        <w:t xml:space="preserve">, а на </w:t>
      </w:r>
      <w:r w:rsidRPr="00B10097">
        <w:rPr>
          <w:rFonts w:ascii="Times New Roman" w:eastAsia="Calibri" w:hAnsi="Times New Roman" w:cs="Times New Roman"/>
          <w:b/>
          <w:sz w:val="28"/>
          <w:szCs w:val="28"/>
        </w:rPr>
        <w:t xml:space="preserve">одно контрольное мероприятие – 73,5 </w:t>
      </w:r>
      <w:proofErr w:type="spellStart"/>
      <w:proofErr w:type="gramStart"/>
      <w:r w:rsidRPr="00B10097">
        <w:rPr>
          <w:rFonts w:ascii="Times New Roman" w:eastAsia="Calibri" w:hAnsi="Times New Roman" w:cs="Times New Roman"/>
          <w:b/>
          <w:sz w:val="28"/>
          <w:szCs w:val="28"/>
        </w:rPr>
        <w:t>млн.рублей</w:t>
      </w:r>
      <w:proofErr w:type="spellEnd"/>
      <w:proofErr w:type="gramEnd"/>
      <w:r w:rsidRPr="00D676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650C" w:rsidRPr="00B10097" w:rsidRDefault="0003650C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0097">
        <w:rPr>
          <w:rFonts w:ascii="Times New Roman" w:eastAsia="Calibri" w:hAnsi="Times New Roman" w:cs="Times New Roman"/>
          <w:sz w:val="20"/>
          <w:szCs w:val="20"/>
        </w:rPr>
        <w:t xml:space="preserve">При этом наибольшая нагрузка на одного сотрудника КСО МО по объему подконтрольных бюджетных средств также, как и в прошлом году, сложилась в Уральском (747,2 млн. рублей) и Дальневосточном (734,3 млн. рублей) федеральных округах, наименьшая – в </w:t>
      </w:r>
      <w:proofErr w:type="gramStart"/>
      <w:r w:rsidRPr="00B10097">
        <w:rPr>
          <w:rFonts w:ascii="Times New Roman" w:eastAsia="Calibri" w:hAnsi="Times New Roman" w:cs="Times New Roman"/>
          <w:sz w:val="20"/>
          <w:szCs w:val="20"/>
        </w:rPr>
        <w:t>Северо-Кавказском</w:t>
      </w:r>
      <w:proofErr w:type="gramEnd"/>
      <w:r w:rsidRPr="00B10097">
        <w:rPr>
          <w:rFonts w:ascii="Times New Roman" w:eastAsia="Calibri" w:hAnsi="Times New Roman" w:cs="Times New Roman"/>
          <w:sz w:val="20"/>
          <w:szCs w:val="20"/>
        </w:rPr>
        <w:t xml:space="preserve"> ФО (349,1 млн. рублей). По объему фактически проверенных средств на одного сотрудника и на одно контрольное мероприятие в 2018 году лидируют Дальневосточный (390,8 млн. рублей и 99,9 млн. рублей, соответственно) и Сибирский (378,1 млн. рублей и 92,3 млн. рублей, соответственно) ФО. </w:t>
      </w:r>
    </w:p>
    <w:p w:rsidR="00D676DC" w:rsidRPr="00B10097" w:rsidRDefault="00D676DC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650C" w:rsidRDefault="0003650C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676DC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</w:t>
      </w:r>
      <w:r w:rsidR="00B10097" w:rsidRPr="00B10097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недостаточная</w:t>
      </w:r>
      <w:r w:rsidRPr="00B1009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штатная численность</w:t>
      </w:r>
      <w:r w:rsidRPr="00D676DC">
        <w:rPr>
          <w:rFonts w:ascii="Times New Roman" w:eastAsia="Calibri" w:hAnsi="Times New Roman" w:cs="Times New Roman"/>
          <w:sz w:val="28"/>
          <w:szCs w:val="28"/>
        </w:rPr>
        <w:t xml:space="preserve"> КСО МО </w:t>
      </w:r>
      <w:r w:rsidR="00B10097">
        <w:rPr>
          <w:rFonts w:ascii="Times New Roman" w:eastAsia="Calibri" w:hAnsi="Times New Roman" w:cs="Times New Roman"/>
          <w:sz w:val="28"/>
          <w:szCs w:val="28"/>
        </w:rPr>
        <w:t>(</w:t>
      </w:r>
      <w:r w:rsidRPr="00D676DC">
        <w:rPr>
          <w:rFonts w:ascii="Times New Roman" w:eastAsia="Calibri" w:hAnsi="Times New Roman" w:cs="Times New Roman"/>
          <w:sz w:val="28"/>
          <w:szCs w:val="28"/>
        </w:rPr>
        <w:t>при фактическом замещении только 1 должности в 36% КСО</w:t>
      </w:r>
      <w:r w:rsidR="00B10097">
        <w:rPr>
          <w:rFonts w:ascii="Times New Roman" w:eastAsia="Calibri" w:hAnsi="Times New Roman" w:cs="Times New Roman"/>
          <w:sz w:val="28"/>
          <w:szCs w:val="28"/>
        </w:rPr>
        <w:t>)</w:t>
      </w:r>
      <w:r w:rsidRPr="00D676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10097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делает обеспечение внешнего финансового контроля на местах с высоким уровнем его качества трудно выполнимой задачей.</w:t>
      </w:r>
    </w:p>
    <w:p w:rsidR="00032362" w:rsidRPr="00B10097" w:rsidRDefault="00032362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650C" w:rsidRPr="00D676DC" w:rsidRDefault="0003650C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по РФ одним </w:t>
      </w:r>
      <w:r w:rsidR="0026277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МО в 2018 году проведено 30</w:t>
      </w:r>
      <w:r w:rsidR="00C8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разрезе КСО МО различных типов информация о количестве проведенных мероприятий характеризуется следующими данными. </w:t>
      </w:r>
    </w:p>
    <w:p w:rsidR="0003650C" w:rsidRPr="00D676DC" w:rsidRDefault="0003650C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2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один КСО</w:t>
      </w:r>
      <w:r w:rsidRPr="0026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внутригородским делением в 2018 году </w:t>
      </w:r>
      <w:r w:rsidRPr="0026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пришлось 66</w:t>
      </w:r>
      <w:r w:rsidR="0026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мероприятий;</w:t>
      </w:r>
    </w:p>
    <w:p w:rsidR="0003650C" w:rsidRPr="00D676DC" w:rsidRDefault="0003650C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один КСО </w:t>
      </w:r>
      <w:r w:rsidRPr="0026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- 34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7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03650C" w:rsidRPr="00D676DC" w:rsidRDefault="0003650C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один</w:t>
      </w:r>
      <w:r w:rsidRPr="0003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Pr="0026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–23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мероприятия;</w:t>
      </w:r>
    </w:p>
    <w:p w:rsidR="0003650C" w:rsidRPr="00D676DC" w:rsidRDefault="0003650C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один КСО </w:t>
      </w:r>
      <w:r w:rsidRPr="0026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="00C8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6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 w:rsidR="00BF1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650C" w:rsidRPr="00D676DC" w:rsidRDefault="0003650C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один КСО </w:t>
      </w:r>
      <w:r w:rsidR="00BF1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–</w:t>
      </w:r>
      <w:r w:rsidRPr="0026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CF619C" w:rsidRPr="00D676DC" w:rsidRDefault="00CF619C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50C" w:rsidRPr="00D676DC" w:rsidRDefault="0003650C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Важным для характеристики деятельности КСО МО различных типов является распределение долей осуществления контрольных и экспертно-аналитических мероприятий. </w:t>
      </w:r>
      <w:r w:rsidR="00CF619C" w:rsidRPr="00BF1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F1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сновная нагрузка по проведению контрольных и экспертно-аналитических мероприятий приходится на КСО муниципальных районов,</w:t>
      </w:r>
      <w:r w:rsidRPr="00D67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в первую очередь </w:t>
      </w:r>
      <w:r w:rsidRPr="00BF1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связано с передачей полномочий по осуществлению внешнего муниципального финансового контроля с уровня поселений</w:t>
      </w:r>
      <w:r w:rsidRPr="00D67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этом доля мероприятий, проведенных КСО муниципальных районов, в общем объеме КМ и ЭАМ возрастает год от года: 2018 год – 77,2%, 2017 год – 76,6 %, 2016 год – 72,1%. </w:t>
      </w:r>
    </w:p>
    <w:p w:rsidR="00C80965" w:rsidRDefault="00C80965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50C" w:rsidRPr="00D676DC" w:rsidRDefault="00C80965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03650C" w:rsidRPr="00D67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КСО городских и сельских поселений в 2018 году, как и в 2016-2017 годах приходится менее 1,0 % объема финансовых наруш</w:t>
      </w:r>
      <w:r w:rsidR="00CF619C" w:rsidRPr="00D67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ений, выявленных в целом по РФ</w:t>
      </w:r>
      <w:r w:rsidR="0003650C" w:rsidRPr="00D67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 этом ежегодно на содержание указанных органов расходуется около 2,0% от общего объема средств, направляемых бюджетами муниципальных образований РФ на содержание КСО. </w:t>
      </w:r>
    </w:p>
    <w:p w:rsidR="00BF1A7C" w:rsidRPr="00D676DC" w:rsidRDefault="0003650C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КСО муниципальных районов наблюдается существенное снижение по годам доли, выявленных ими нарушений: с 42,8% в 2016 году до </w:t>
      </w:r>
      <w:r w:rsidRPr="00D67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19,8% в 2018 году, а по КСО городских округов, напротив, рост показателя: с 54,3% в 2016 году до 77,3% в 2018 году. </w:t>
      </w:r>
    </w:p>
    <w:p w:rsidR="0003650C" w:rsidRPr="0003650C" w:rsidRDefault="0003650C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объема средств выявленных нарушений по отношению к объему средств, предусмотренных на </w:t>
      </w:r>
      <w:r w:rsidR="00CF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КСО МО, в разрезе МО </w:t>
      </w:r>
      <w:r w:rsidRPr="00036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</w:t>
      </w:r>
      <w:r w:rsidR="00CF61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5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1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03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наименьшая отдача от деятельности КСО сложилась по сельским поселениям</w:t>
      </w:r>
      <w:r w:rsidRPr="0003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D5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один рубль </w:t>
      </w:r>
      <w:r w:rsidRPr="00FD5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израсходованных на их содержание</w:t>
      </w:r>
      <w:r w:rsidRPr="0003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местных бюджетов в 2018 году </w:t>
      </w:r>
      <w:r w:rsidRPr="00FD5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приходится только 1,0 рубль выявленных</w:t>
      </w:r>
      <w:r w:rsidRPr="00FD5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нарушений.</w:t>
      </w:r>
      <w:r w:rsidRPr="00036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 же время в отношении КСО муниципальных районов и городских округов – 31,0 и 94,7 рублей соответственно. Наибольшее значение показателя, как и в прошлом году, отмечается у КСО городских округов с внутригородским делением – 171,9 рублей.</w:t>
      </w:r>
    </w:p>
    <w:p w:rsidR="003A72CB" w:rsidRDefault="003A72CB" w:rsidP="006375C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0C" w:rsidRDefault="003A72CB" w:rsidP="003A72C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Исходя из вышеизложенного, </w:t>
      </w:r>
      <w:r w:rsidR="00646320">
        <w:rPr>
          <w:rFonts w:ascii="Times New Roman" w:hAnsi="Times New Roman"/>
          <w:b/>
          <w:sz w:val="28"/>
          <w:szCs w:val="28"/>
        </w:rPr>
        <w:t xml:space="preserve">в среднем </w:t>
      </w:r>
      <w:r w:rsidR="00646320" w:rsidRPr="00646320">
        <w:rPr>
          <w:rFonts w:ascii="Times New Roman" w:hAnsi="Times New Roman"/>
          <w:b/>
          <w:sz w:val="28"/>
          <w:szCs w:val="28"/>
        </w:rPr>
        <w:t xml:space="preserve">по России КСО МО </w:t>
      </w:r>
      <w:r w:rsidRPr="00646320">
        <w:rPr>
          <w:rFonts w:ascii="Times New Roman" w:hAnsi="Times New Roman"/>
          <w:b/>
          <w:sz w:val="28"/>
          <w:szCs w:val="28"/>
        </w:rPr>
        <w:t>окупают себя многократно</w:t>
      </w:r>
      <w:r>
        <w:rPr>
          <w:rFonts w:ascii="Times New Roman" w:hAnsi="Times New Roman"/>
          <w:sz w:val="28"/>
          <w:szCs w:val="28"/>
        </w:rPr>
        <w:t xml:space="preserve"> (за исключением сельских и городских поселений). Но это именно в среднем!</w:t>
      </w:r>
    </w:p>
    <w:p w:rsidR="00646320" w:rsidRDefault="00646320" w:rsidP="003A72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A0" w:rsidRDefault="009301A0" w:rsidP="003A72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A0" w:rsidRDefault="003A72CB" w:rsidP="003A72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с принятием Федерального закона № 566</w:t>
      </w:r>
      <w:r w:rsidR="00B1613B" w:rsidRPr="00B1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27.12.2018 в некоторых субъектах РФ начались процессы передачи полномочий по осуществлению внешнего финансового контроля на уровень субъекта РФ.</w:t>
      </w:r>
      <w:r w:rsidR="00B1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13B" w:rsidRPr="00B1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по состоянию на 01.01.2019 </w:t>
      </w:r>
      <w:r w:rsidR="00B1613B" w:rsidRPr="00B16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на уровень субъекта передали</w:t>
      </w:r>
      <w:r w:rsidR="00B1613B" w:rsidRPr="00B1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1A0" w:rsidRPr="00B1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9301A0" w:rsidRPr="00B16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364 муниципальных образования</w:t>
      </w:r>
      <w:r w:rsidR="00930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3A72CB" w:rsidRDefault="00B1613B" w:rsidP="00930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B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городских округа</w:t>
      </w:r>
      <w:r w:rsidR="000323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районов и 70 поселений Владимирской области, 1 городской округ и </w:t>
      </w:r>
      <w:r w:rsidR="00930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районов Чеченской </w:t>
      </w:r>
      <w:r w:rsidR="009301A0" w:rsidRPr="00930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930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2CB" w:rsidRDefault="004F69EA" w:rsidP="004F69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 финансовым контролем не охвачены 5548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5243 поселения,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255 муниципальных 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>25 городских округов</w:t>
      </w:r>
      <w:r w:rsidR="00930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процесс может положительно отразиться на прозрачности и достоверности утверждаемых отчетов об исполнении бюджетов</w:t>
      </w:r>
      <w:r w:rsid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муниципальных образований, где отсутствовали КСО. Однако, рассчитывать на то, что КСО</w:t>
      </w:r>
      <w:r w:rsidR="00930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РФ</w:t>
      </w:r>
      <w:r w:rsid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полностью подменить собой муниципальный КСО не приходится. Как правило, речь идет лишь об исполнении полномочия по проведению внешней проверки отчета об исполнении бюджета</w:t>
      </w:r>
      <w:r w:rsidR="0099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 полномочие из одиннадцати)</w:t>
      </w:r>
      <w:r w:rsid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72CB" w:rsidRDefault="003A72CB" w:rsidP="006375C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775" w:rsidRPr="009F12D3" w:rsidRDefault="009F12D3" w:rsidP="00E80775">
      <w:pPr>
        <w:pStyle w:val="af2"/>
        <w:rPr>
          <w:sz w:val="20"/>
          <w:szCs w:val="20"/>
        </w:rPr>
      </w:pPr>
      <w:r w:rsidRPr="009F12D3">
        <w:rPr>
          <w:sz w:val="20"/>
          <w:szCs w:val="20"/>
        </w:rPr>
        <w:t>В</w:t>
      </w:r>
      <w:r w:rsidR="00E80775" w:rsidRPr="009F12D3">
        <w:rPr>
          <w:sz w:val="20"/>
          <w:szCs w:val="20"/>
        </w:rPr>
        <w:t xml:space="preserve"> пояснительной записке к проекту 566-ФЗ </w:t>
      </w:r>
      <w:r w:rsidR="00B40594" w:rsidRPr="009F12D3">
        <w:rPr>
          <w:sz w:val="20"/>
          <w:szCs w:val="20"/>
        </w:rPr>
        <w:t xml:space="preserve">было </w:t>
      </w:r>
      <w:r w:rsidR="00E80775" w:rsidRPr="009F12D3">
        <w:rPr>
          <w:sz w:val="20"/>
          <w:szCs w:val="20"/>
        </w:rPr>
        <w:t xml:space="preserve">указано, что в ряде субъектов РФ, не относящихся к городам федерального значения, существуют труднодоступные и малонаселенные МО, в которых создавать отдельный КСО представляется нецелесообразным и экономически невыгодным. </w:t>
      </w:r>
      <w:r w:rsidR="00B40594" w:rsidRPr="009F12D3">
        <w:rPr>
          <w:sz w:val="20"/>
          <w:szCs w:val="20"/>
        </w:rPr>
        <w:t xml:space="preserve">Передача полномочий </w:t>
      </w:r>
      <w:r w:rsidR="00B40594" w:rsidRPr="009F12D3">
        <w:rPr>
          <w:rFonts w:eastAsia="Times New Roman"/>
          <w:sz w:val="20"/>
          <w:szCs w:val="20"/>
          <w:lang w:eastAsia="ru-RU"/>
        </w:rPr>
        <w:t>на уровень субъекта</w:t>
      </w:r>
      <w:r w:rsidR="00B40594" w:rsidRPr="009F12D3">
        <w:rPr>
          <w:sz w:val="20"/>
          <w:szCs w:val="20"/>
        </w:rPr>
        <w:t xml:space="preserve"> </w:t>
      </w:r>
      <w:r w:rsidR="00E80775" w:rsidRPr="009F12D3">
        <w:rPr>
          <w:sz w:val="20"/>
          <w:szCs w:val="20"/>
        </w:rPr>
        <w:t>позволит исключить формальный подход и избыточные траты муниципального бюджета на содержание КСО и даст возможность привлечь максимально профессионально подготовленных специалистов к проверке использования бюджетных средств на местном уровне.</w:t>
      </w:r>
    </w:p>
    <w:p w:rsidR="000B26D5" w:rsidRDefault="00E80775" w:rsidP="00E80775">
      <w:pPr>
        <w:pStyle w:val="af2"/>
      </w:pPr>
      <w:r w:rsidRPr="009F12D3">
        <w:rPr>
          <w:sz w:val="20"/>
          <w:szCs w:val="20"/>
        </w:rPr>
        <w:t>В материалах по рассмо</w:t>
      </w:r>
      <w:r w:rsidRPr="000B26D5">
        <w:rPr>
          <w:sz w:val="20"/>
          <w:szCs w:val="20"/>
        </w:rPr>
        <w:t xml:space="preserve">трению проекта 566-ФЗ имеются поправки Правительства РФ и ряда депутатов Государственной Думы, которыми фактически предлагалось установить в законе случаи (условия, основания) при которых соглашения о передаче полномочий должны быть заключены либо не могут быть заключены. Например, что </w:t>
      </w:r>
      <w:proofErr w:type="gramStart"/>
      <w:r w:rsidRPr="000B26D5">
        <w:rPr>
          <w:sz w:val="20"/>
          <w:szCs w:val="20"/>
        </w:rPr>
        <w:t>ПО поселений</w:t>
      </w:r>
      <w:proofErr w:type="gramEnd"/>
      <w:r w:rsidRPr="000B26D5">
        <w:rPr>
          <w:sz w:val="20"/>
          <w:szCs w:val="20"/>
        </w:rPr>
        <w:t xml:space="preserve"> не вправе заключать соглашения с КСО субъекта РФ, в случае, если образован КСО муниципального района. Или, что соглашение с КСО субъекта РФ вправе заключить ПО МО, расположенного в отдаленной, труднодоступной и (или) малонаселенной местности, в также в случае отсутствия в соответствующих МО кадровых, материально-технических и финансовых ресурсов, иных </w:t>
      </w:r>
      <w:r w:rsidRPr="000B26D5">
        <w:rPr>
          <w:sz w:val="20"/>
          <w:szCs w:val="20"/>
        </w:rPr>
        <w:lastRenderedPageBreak/>
        <w:t>условий, необходимых КСО МО для самостоятельного осуществления полномочий. Однако указанные поправки были рекомендованы к отклонению.</w:t>
      </w:r>
      <w:r w:rsidRPr="000B26D5">
        <w:t xml:space="preserve"> </w:t>
      </w:r>
    </w:p>
    <w:p w:rsidR="00E80775" w:rsidRPr="00B80E3B" w:rsidRDefault="000B26D5" w:rsidP="00E80775">
      <w:pPr>
        <w:pStyle w:val="af2"/>
        <w:rPr>
          <w:b/>
          <w:sz w:val="20"/>
          <w:szCs w:val="20"/>
        </w:rPr>
      </w:pPr>
      <w:r w:rsidRPr="00B80E3B">
        <w:rPr>
          <w:b/>
          <w:sz w:val="20"/>
          <w:szCs w:val="20"/>
        </w:rPr>
        <w:t>С</w:t>
      </w:r>
      <w:r w:rsidR="00E80775" w:rsidRPr="00B80E3B">
        <w:rPr>
          <w:b/>
          <w:sz w:val="20"/>
          <w:szCs w:val="20"/>
        </w:rPr>
        <w:t>лучаи (условия, основания) заключения соглашений о передаче полномочий по внешнему МФК оставлены на усмотрение органов субъекта РФ, которые могут установить их в порядке заключения соглашений.</w:t>
      </w:r>
    </w:p>
    <w:p w:rsidR="00444728" w:rsidRPr="000B26D5" w:rsidRDefault="00444728" w:rsidP="00E80775">
      <w:pPr>
        <w:pStyle w:val="af2"/>
      </w:pPr>
    </w:p>
    <w:p w:rsidR="00444728" w:rsidRPr="00444728" w:rsidRDefault="00444728" w:rsidP="0044472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по правовым вопросам Совета КСО при Счетной палате РФ </w:t>
      </w:r>
      <w:r w:rsidRPr="004447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изучались проблемы правового регулирования вопросов передачи контрольно-счетным органам субъектов Российской Федерации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7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728" w:rsidRPr="00C53C71" w:rsidRDefault="00444728" w:rsidP="00444728">
      <w:pPr>
        <w:pStyle w:val="af2"/>
      </w:pPr>
      <w:r w:rsidRPr="009970B8">
        <w:t xml:space="preserve">По мнению </w:t>
      </w:r>
      <w:proofErr w:type="gramStart"/>
      <w:r w:rsidRPr="009970B8">
        <w:t>рабочей группы</w:t>
      </w:r>
      <w:proofErr w:type="gramEnd"/>
      <w:r w:rsidR="009301A0">
        <w:t xml:space="preserve"> </w:t>
      </w:r>
      <w:r w:rsidR="009970B8" w:rsidRPr="009970B8">
        <w:t>п</w:t>
      </w:r>
      <w:r w:rsidRPr="009970B8">
        <w:t>ередача полномочий КСО субъекта РФ целесообразна лишь в случае отсутствия КСО муниципального района, либо невозможности или нецелесообразности осуществления им полномочий по внешнему МФК (например, КСО муниципального района фактически не сформирован или находится</w:t>
      </w:r>
      <w:r w:rsidRPr="00C53C71">
        <w:t xml:space="preserve"> в стадии ликвидации). В этом случае также целесообразно одновременно передать КСО субъекта РФ полномочия по внешнему МФК в отношении и муниципального района и поселений. </w:t>
      </w:r>
    </w:p>
    <w:p w:rsidR="00444728" w:rsidRPr="00B80E3B" w:rsidRDefault="00444728" w:rsidP="004447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3B">
        <w:rPr>
          <w:rFonts w:ascii="Times New Roman" w:hAnsi="Times New Roman" w:cs="Times New Roman"/>
          <w:sz w:val="28"/>
          <w:szCs w:val="28"/>
        </w:rPr>
        <w:t>Для МО, удаленных от административного центра субъекта РФ (места нахождения КСО субъекта РФ), отсутствие развитой транспортной и информационной инфраструктуры может стать препятствием для полноценного и эффективного осуществления КСО субъекта РФ переданных полномочий по внешнему МФК. Осуществление внешнего МФК исключительно на камеральной основе (из места нахождения КСО субъекта РФ) невозможно</w:t>
      </w:r>
      <w:r w:rsidR="00B80E3B">
        <w:rPr>
          <w:rFonts w:ascii="Times New Roman" w:hAnsi="Times New Roman" w:cs="Times New Roman"/>
          <w:sz w:val="28"/>
          <w:szCs w:val="28"/>
        </w:rPr>
        <w:t>.</w:t>
      </w:r>
    </w:p>
    <w:p w:rsidR="00444728" w:rsidRPr="00444728" w:rsidRDefault="00444728" w:rsidP="004447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большинстве МО отсутствуют условия для удаленного осуществления внешнего МФК (отсутствуют соответствующие информационные системы, электронный документооборот), что приводит к необходимости транспортировки большого объема бумажных документов либо их сканирования для представления в КСО субъекта РФ. Согласно паспорту федерального проекта «Цифровое государственное управление» внедрение в деятельность органов местного самоуправления, а также подведомственных им организаций, межведомственного юридически значимого документооборота планируется к 2024 году. У многих КСО субъекта РФ сохраняется проблема отсутствия доступа к региональным информационным системам, которые используются на муниципальном уровне. Большинство КСО субъектов РФ не имеют возможности создать (приобрести) собственную информационную систему для осуществления удаленного контроля. </w:t>
      </w:r>
      <w:r w:rsidRPr="0044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учетом этого, наличие у МО и субъекта РФ возможностей для организации полноценного информационного взаимодействия является обстоятельством (условием, основанием), при котором возможно заключение соглашения о передаче полномочий по внешнему МФК.</w:t>
      </w:r>
    </w:p>
    <w:p w:rsidR="00444728" w:rsidRDefault="00444728" w:rsidP="004447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должностных лиц КСО субъекта РФ на территории МО, передавших полномочия по внешнему МФК, может обеспечиваться за счет выездного характера работы (командировок) либо постоянного проживания в </w:t>
      </w:r>
      <w:r w:rsidRPr="004447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соответствующем МО. </w:t>
      </w:r>
      <w:r w:rsidRPr="0044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учетом этого, для осуществления переданных полномочий могут быть созданы обособленные подразделения (рабочие места) КСО субъекта РФ на территории городских округов и муниципальных районов, удаленных от административного центра субъекта РФ (места нахождения КСО субъекта РФ). </w:t>
      </w:r>
      <w:r w:rsidRPr="004447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обособленных подразделений (рабочих мест) КСО субъекта РФ также потребуются финансовые, материально-технические, кадровые условия, которые могли бы быть использованы для создания КСО МО. Должностные лица КСО субъекта РФ, как правило, имеют более высокий статус, уровень оплаты труда и других социальных гарантий. Но в таком случае расходы на осуществление внешнего МФК будут больше, чем при создании КСО МО.</w:t>
      </w:r>
    </w:p>
    <w:p w:rsidR="00B80E3B" w:rsidRPr="00444728" w:rsidRDefault="00B80E3B" w:rsidP="004447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728" w:rsidRPr="00444728" w:rsidRDefault="00444728" w:rsidP="004447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</w:t>
      </w:r>
      <w:r w:rsidRPr="00B8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разных субъектах РФ могут быть различные условия (основания), определяющие </w:t>
      </w:r>
      <w:r w:rsidRPr="000323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целесообразность передачи КСО субъекта РФ полномочий по внешнему МФК</w:t>
      </w:r>
      <w:r w:rsidRPr="0044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отсутствие такой необходимости и целесообразность создания (сохранения) КСО МО. </w:t>
      </w:r>
      <w:r w:rsidRPr="000323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Прежде всего, это определяется сложившейся в субъекте РФ системой внешнего МФК</w:t>
      </w:r>
      <w:r w:rsidRPr="0044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наличием или отсутствием КСО МО в муниципальных районах и городских округах. </w:t>
      </w:r>
    </w:p>
    <w:p w:rsidR="00444728" w:rsidRPr="009970B8" w:rsidRDefault="00444728" w:rsidP="004447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0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Исходя из этого, </w:t>
      </w:r>
      <w:r w:rsidR="00B80E3B" w:rsidRPr="00032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представительные органы</w:t>
      </w:r>
      <w:r w:rsidR="00B80E3B" w:rsidRPr="009970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970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 </w:t>
      </w:r>
      <w:r w:rsidRPr="009970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обязаны принять меры</w:t>
      </w:r>
      <w:r w:rsidRPr="009970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необходимые для осуществления внешнего МФК</w:t>
      </w:r>
      <w:r w:rsidR="00EC4C86" w:rsidRPr="009970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970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либо создать КСО МО</w:t>
      </w:r>
      <w:r w:rsidR="009301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9970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либо передать соответствующие полномочия КСО субъекта РФ</w:t>
      </w:r>
      <w:r w:rsidR="00EC4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смысле </w:t>
      </w:r>
      <w:r w:rsidRPr="0044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</w:t>
      </w:r>
      <w:r w:rsidR="00EC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</w:t>
      </w:r>
      <w:r w:rsidR="009301A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органов</w:t>
      </w:r>
      <w:r w:rsidRPr="0044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заключить соглашение о передаче полномочий </w:t>
      </w:r>
      <w:r w:rsidRPr="0044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корреспондирует с обязанностью </w:t>
      </w:r>
      <w:r w:rsidRPr="00930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какой-либо из вариантов мер</w:t>
      </w:r>
      <w:r w:rsidRPr="0044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4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осуществления внешнего МФК. </w:t>
      </w:r>
      <w:r w:rsidRPr="00997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Вместе с тем, закон субъекта РФ не может ограничивать право выбора </w:t>
      </w:r>
      <w:r w:rsidR="009970B8" w:rsidRPr="009970B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представительным органом</w:t>
      </w:r>
      <w:r w:rsidRPr="00997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какого-либо из вариантов мер и содержать положения, обязывающие ПО МО заключить соглашение о передаче полномочий.</w:t>
      </w:r>
    </w:p>
    <w:p w:rsidR="00E80775" w:rsidRDefault="00646320" w:rsidP="006463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субъектах РФ не планируется увеличение штатной численности КСО субъекта РФ при передаче ему полномочий по внешнему МФК. Однако осуществление переданных полномочий по внешнему МФК имеющейся штатной численностью приведет к уменьшению рабочего времени на осуществления полномочий КСО субъекта РФ по внешнему ГФК.</w:t>
      </w:r>
    </w:p>
    <w:p w:rsidR="009970B8" w:rsidRDefault="00646320" w:rsidP="009970B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субъектов РФ также рассматривается вопрос о возможности </w:t>
      </w:r>
      <w:r w:rsidRPr="0099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полной или частичной</w:t>
      </w:r>
      <w:r w:rsidRPr="0099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полномочий по внешнему МФК, в </w:t>
      </w:r>
      <w:proofErr w:type="spellStart"/>
      <w:r w:rsidRPr="009970B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9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законах РФ и их проектах предусматриваются нормы об обязательной передаче полномочий в полном объеме на неограниченный срок. </w:t>
      </w:r>
      <w:r w:rsidR="009970B8" w:rsidRPr="00997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следует избегать ситуаций, когда частичная передача полномочий приводит к необходимости создания и КСО МО и обособленного подразделения (рабочих мест) КСО субъекта РФ в МО</w:t>
      </w:r>
      <w:r w:rsidR="00997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320" w:rsidRPr="009970B8" w:rsidRDefault="009970B8" w:rsidP="009970B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320" w:rsidRPr="00997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 соответствии со ст. 264.4 БК РФ по обращению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органа </w:t>
      </w:r>
      <w:r w:rsidR="00646320" w:rsidRPr="0099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(внутригородского района) внешняя проверка годового отчета об исполнении бюджета поселения (внутригородского района) может осуществляться КСО муниципального </w:t>
      </w:r>
      <w:r w:rsidR="00646320" w:rsidRPr="00997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(городского округа с внутригородским делением) или КСО субъекта РФ. Таким образом, для поселений и внутригородских районов возможность передачи лишь одного из полномочий по внешнему МФК уже предусмотрена федеральным законодательством.</w:t>
      </w:r>
    </w:p>
    <w:p w:rsidR="00646320" w:rsidRDefault="00646320" w:rsidP="006463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целесообразно рассмотреть вопрос об оптимизации осуществления полномочий, которые относятся к компетенции как КСО</w:t>
      </w:r>
      <w:r w:rsidR="0029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так и КСО субъекта РФ (проверка годового отчета об исполнении бюджетов высокодотационных МО, контроль за использованием средств бюджета субъекта РФ, предоставленных местным бюджетам). Это особенно актуально для МО, с большой долей межбюджетных трансфертов в доходах бюджета. </w:t>
      </w:r>
      <w:r w:rsidR="00850A1C" w:rsidRPr="00850A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0A1C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уществующие механизмы взаимодействия КСО МО и КСО субъектов РФ позволяют решать эти проблемы и без передачи части полномочий.</w:t>
      </w:r>
    </w:p>
    <w:p w:rsidR="00850A1C" w:rsidRPr="00850A1C" w:rsidRDefault="00850A1C" w:rsidP="006463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1C" w:rsidRPr="005C4B85" w:rsidRDefault="00CF0E67" w:rsidP="00CF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анализа данных по состоянию на 1.01.2019 </w:t>
      </w:r>
      <w:r w:rsidRPr="009D56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созданных в регионах Российской Федерации органах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01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атной и фактической численности</w:t>
      </w:r>
      <w:r w:rsidRPr="00015B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основные показатели их деятельности </w:t>
      </w:r>
      <w:r w:rsidR="00850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850A1C" w:rsidRPr="009D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</w:t>
      </w:r>
      <w:r w:rsidR="005C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</w:t>
      </w:r>
      <w:r w:rsidR="00850A1C" w:rsidRPr="00850A1C">
        <w:rPr>
          <w:rFonts w:ascii="Times New Roman" w:hAnsi="Times New Roman" w:cs="Times New Roman"/>
          <w:i/>
          <w:sz w:val="28"/>
          <w:szCs w:val="28"/>
        </w:rPr>
        <w:t>Контрольно-счетным органам субъектов РФ:</w:t>
      </w:r>
    </w:p>
    <w:p w:rsidR="00850A1C" w:rsidRPr="00850A1C" w:rsidRDefault="00850A1C" w:rsidP="00850A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1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50A1C">
        <w:rPr>
          <w:rFonts w:ascii="Times New Roman" w:hAnsi="Times New Roman" w:cs="Times New Roman"/>
          <w:sz w:val="28"/>
          <w:szCs w:val="28"/>
        </w:rPr>
        <w:t xml:space="preserve">Республик Марий Эл, Мордовии, Башкортостан, Северная Осетия – Алания, Карелия, Чеченской Республики, Алтайского и Камчатского краев, Омской, Курганской, Пензенской и Ростовской областей, Чукотского автономного округа </w:t>
      </w:r>
      <w:r w:rsidRPr="005C4B85">
        <w:rPr>
          <w:rFonts w:ascii="Times New Roman" w:hAnsi="Times New Roman" w:cs="Times New Roman"/>
          <w:sz w:val="28"/>
          <w:szCs w:val="28"/>
        </w:rPr>
        <w:t>провести работу по оказанию помощи муниципальным образованиям в создании КСО либо содействие в передаче полномочий по внешнему финансовому контролю на уровень района или субъ</w:t>
      </w:r>
      <w:r w:rsidR="005C4B85">
        <w:rPr>
          <w:rFonts w:ascii="Times New Roman" w:hAnsi="Times New Roman" w:cs="Times New Roman"/>
          <w:sz w:val="28"/>
          <w:szCs w:val="28"/>
        </w:rPr>
        <w:t>екта РФ.</w:t>
      </w:r>
    </w:p>
    <w:p w:rsidR="00850A1C" w:rsidRPr="005C4B85" w:rsidRDefault="005C4B85" w:rsidP="005C4B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85">
        <w:rPr>
          <w:rFonts w:ascii="Times New Roman" w:hAnsi="Times New Roman" w:cs="Times New Roman"/>
          <w:sz w:val="28"/>
          <w:szCs w:val="28"/>
        </w:rPr>
        <w:t>Также решено р</w:t>
      </w:r>
      <w:r w:rsidR="00850A1C" w:rsidRPr="005C4B85">
        <w:rPr>
          <w:rFonts w:ascii="Times New Roman" w:hAnsi="Times New Roman" w:cs="Times New Roman"/>
          <w:sz w:val="28"/>
          <w:szCs w:val="28"/>
        </w:rPr>
        <w:t>ассмотреть вопрос о включении в план работы на очередной год мероприятия, направленного на выявление и анализ причин, препятствующих организации внешнего финансового контроля на муниципальном уровне. На основе проведенного анализа разработать предложения в адрес Счетной палаты РФ, ведущие к снижению количества территорий, в которых отсутствует внешний финансовый контроль.</w:t>
      </w:r>
    </w:p>
    <w:p w:rsidR="00850A1C" w:rsidRPr="00850A1C" w:rsidRDefault="00850A1C" w:rsidP="006463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0A1C" w:rsidRPr="00850A1C" w:rsidSect="006375C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52" w:rsidRDefault="00724452" w:rsidP="006375C2">
      <w:pPr>
        <w:spacing w:after="0" w:line="240" w:lineRule="auto"/>
      </w:pPr>
      <w:r>
        <w:separator/>
      </w:r>
    </w:p>
  </w:endnote>
  <w:endnote w:type="continuationSeparator" w:id="0">
    <w:p w:rsidR="00724452" w:rsidRDefault="00724452" w:rsidP="0063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029979"/>
      <w:docPartObj>
        <w:docPartGallery w:val="Page Numbers (Bottom of Page)"/>
        <w:docPartUnique/>
      </w:docPartObj>
    </w:sdtPr>
    <w:sdtEndPr/>
    <w:sdtContent>
      <w:p w:rsidR="00724452" w:rsidRDefault="0072445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2B">
          <w:rPr>
            <w:noProof/>
          </w:rPr>
          <w:t>2</w:t>
        </w:r>
        <w:r>
          <w:fldChar w:fldCharType="end"/>
        </w:r>
      </w:p>
    </w:sdtContent>
  </w:sdt>
  <w:p w:rsidR="00724452" w:rsidRDefault="007244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52" w:rsidRDefault="00724452" w:rsidP="006375C2">
      <w:pPr>
        <w:spacing w:after="0" w:line="240" w:lineRule="auto"/>
      </w:pPr>
      <w:r>
        <w:separator/>
      </w:r>
    </w:p>
  </w:footnote>
  <w:footnote w:type="continuationSeparator" w:id="0">
    <w:p w:rsidR="00724452" w:rsidRDefault="00724452" w:rsidP="0063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063337"/>
      <w:docPartObj>
        <w:docPartGallery w:val="Page Numbers (Top of Page)"/>
        <w:docPartUnique/>
      </w:docPartObj>
    </w:sdtPr>
    <w:sdtEndPr/>
    <w:sdtContent>
      <w:p w:rsidR="00724452" w:rsidRDefault="0072445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2B">
          <w:rPr>
            <w:noProof/>
          </w:rPr>
          <w:t>2</w:t>
        </w:r>
        <w:r>
          <w:fldChar w:fldCharType="end"/>
        </w:r>
      </w:p>
    </w:sdtContent>
  </w:sdt>
  <w:p w:rsidR="00724452" w:rsidRDefault="0072445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53"/>
    <w:rsid w:val="00015B13"/>
    <w:rsid w:val="00032362"/>
    <w:rsid w:val="0003650C"/>
    <w:rsid w:val="00043EDF"/>
    <w:rsid w:val="000B26D5"/>
    <w:rsid w:val="001D256A"/>
    <w:rsid w:val="001E51BD"/>
    <w:rsid w:val="00262778"/>
    <w:rsid w:val="002641EB"/>
    <w:rsid w:val="002912CE"/>
    <w:rsid w:val="002D41FE"/>
    <w:rsid w:val="00303359"/>
    <w:rsid w:val="0035294E"/>
    <w:rsid w:val="003A72CB"/>
    <w:rsid w:val="00444728"/>
    <w:rsid w:val="00457402"/>
    <w:rsid w:val="004F528E"/>
    <w:rsid w:val="004F69EA"/>
    <w:rsid w:val="005C4B85"/>
    <w:rsid w:val="00605348"/>
    <w:rsid w:val="006375C2"/>
    <w:rsid w:val="00646320"/>
    <w:rsid w:val="00681F39"/>
    <w:rsid w:val="00724452"/>
    <w:rsid w:val="007A3487"/>
    <w:rsid w:val="007B75E6"/>
    <w:rsid w:val="00850A1C"/>
    <w:rsid w:val="00897D12"/>
    <w:rsid w:val="009301A0"/>
    <w:rsid w:val="009970B8"/>
    <w:rsid w:val="009D5660"/>
    <w:rsid w:val="009F12D3"/>
    <w:rsid w:val="00AC152B"/>
    <w:rsid w:val="00AC3E4E"/>
    <w:rsid w:val="00B10097"/>
    <w:rsid w:val="00B1613B"/>
    <w:rsid w:val="00B40594"/>
    <w:rsid w:val="00B453CB"/>
    <w:rsid w:val="00B80908"/>
    <w:rsid w:val="00B80E3B"/>
    <w:rsid w:val="00BE2853"/>
    <w:rsid w:val="00BF1A7C"/>
    <w:rsid w:val="00C80965"/>
    <w:rsid w:val="00CF039D"/>
    <w:rsid w:val="00CF0E67"/>
    <w:rsid w:val="00CF619C"/>
    <w:rsid w:val="00D349E1"/>
    <w:rsid w:val="00D676DC"/>
    <w:rsid w:val="00E80775"/>
    <w:rsid w:val="00EB1D2B"/>
    <w:rsid w:val="00EC4C86"/>
    <w:rsid w:val="00FD5EDD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C82C"/>
  <w15:chartTrackingRefBased/>
  <w15:docId w15:val="{F95F71F3-A513-46D2-B28F-A8A58B25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56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D56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56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D566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9D5660"/>
  </w:style>
  <w:style w:type="paragraph" w:styleId="a3">
    <w:name w:val="Body Text Indent"/>
    <w:basedOn w:val="a"/>
    <w:link w:val="a4"/>
    <w:uiPriority w:val="99"/>
    <w:rsid w:val="009D5660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D56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9D5660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9D56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D566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9D5660"/>
    <w:rPr>
      <w:rFonts w:cs="Times New Roman"/>
      <w:vertAlign w:val="superscript"/>
    </w:rPr>
  </w:style>
  <w:style w:type="table" w:styleId="a9">
    <w:name w:val="Table Grid"/>
    <w:basedOn w:val="a1"/>
    <w:uiPriority w:val="99"/>
    <w:rsid w:val="009D5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9D566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D566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rsid w:val="009D56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D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D56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D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9D5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9D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basedOn w:val="a"/>
    <w:uiPriority w:val="1"/>
    <w:qFormat/>
    <w:rsid w:val="00E8077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Л.И.</dc:creator>
  <cp:keywords/>
  <dc:description/>
  <cp:lastModifiedBy>Балашева Л.И.</cp:lastModifiedBy>
  <cp:revision>5</cp:revision>
  <cp:lastPrinted>2019-11-19T14:56:00Z</cp:lastPrinted>
  <dcterms:created xsi:type="dcterms:W3CDTF">2019-11-19T16:23:00Z</dcterms:created>
  <dcterms:modified xsi:type="dcterms:W3CDTF">2019-11-19T16:54:00Z</dcterms:modified>
</cp:coreProperties>
</file>